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39AA" w14:textId="77777777" w:rsidR="00556C18" w:rsidRPr="005153FA" w:rsidRDefault="00556C18">
      <w:pPr>
        <w:jc w:val="center"/>
        <w:rPr>
          <w:rFonts w:ascii="Arial" w:hAnsi="Arial"/>
          <w:b/>
          <w:bCs/>
        </w:rPr>
      </w:pPr>
      <w:bookmarkStart w:id="0" w:name="_GoBack"/>
      <w:bookmarkEnd w:id="0"/>
      <w:r w:rsidRPr="005153FA">
        <w:rPr>
          <w:rFonts w:ascii="Arial" w:hAnsi="Arial"/>
          <w:b/>
          <w:bCs/>
        </w:rPr>
        <w:t xml:space="preserve">Management of </w:t>
      </w:r>
      <w:r w:rsidR="00656EE4">
        <w:rPr>
          <w:rFonts w:ascii="Arial" w:hAnsi="Arial"/>
          <w:b/>
          <w:bCs/>
        </w:rPr>
        <w:t>Corn Diseases</w:t>
      </w:r>
    </w:p>
    <w:p w14:paraId="1628F09F" w14:textId="67F93CDF" w:rsidR="00556C18" w:rsidRDefault="00556C18">
      <w:pPr>
        <w:jc w:val="center"/>
        <w:rPr>
          <w:rFonts w:ascii="Arial" w:hAnsi="Arial"/>
          <w:b/>
          <w:bCs/>
        </w:rPr>
      </w:pPr>
      <w:r w:rsidRPr="00F13236">
        <w:rPr>
          <w:rFonts w:ascii="Arial" w:hAnsi="Arial"/>
          <w:b/>
          <w:bCs/>
        </w:rPr>
        <w:t xml:space="preserve">Fungicide Efficacy for Control of </w:t>
      </w:r>
      <w:r w:rsidR="00694743" w:rsidRPr="00F13236">
        <w:rPr>
          <w:rFonts w:ascii="Arial" w:hAnsi="Arial"/>
          <w:b/>
          <w:bCs/>
        </w:rPr>
        <w:t>Corn Diseases</w:t>
      </w:r>
      <w:r w:rsidR="004C58EF">
        <w:rPr>
          <w:rFonts w:ascii="Arial" w:hAnsi="Arial"/>
          <w:b/>
          <w:bCs/>
        </w:rPr>
        <w:t>—</w:t>
      </w:r>
      <w:r w:rsidR="003B7229">
        <w:rPr>
          <w:rFonts w:ascii="Arial" w:hAnsi="Arial"/>
          <w:b/>
          <w:bCs/>
        </w:rPr>
        <w:t>April</w:t>
      </w:r>
      <w:r w:rsidR="009C6208">
        <w:rPr>
          <w:rFonts w:ascii="Arial" w:hAnsi="Arial"/>
          <w:b/>
          <w:bCs/>
        </w:rPr>
        <w:t xml:space="preserve"> 2015</w:t>
      </w:r>
    </w:p>
    <w:p w14:paraId="5EB2F6FD" w14:textId="68B09D22" w:rsidR="00211C39" w:rsidRPr="000C5F37" w:rsidRDefault="00556C18" w:rsidP="00211C39">
      <w:pPr>
        <w:rPr>
          <w:rFonts w:ascii="Arial" w:hAnsi="Arial"/>
          <w:sz w:val="20"/>
          <w:szCs w:val="20"/>
        </w:rPr>
      </w:pPr>
      <w:r w:rsidRPr="000C5F37">
        <w:rPr>
          <w:rFonts w:ascii="Arial" w:hAnsi="Arial"/>
          <w:bCs/>
          <w:sz w:val="20"/>
          <w:szCs w:val="20"/>
        </w:rPr>
        <w:t xml:space="preserve">The </w:t>
      </w:r>
      <w:r w:rsidR="00694743" w:rsidRPr="000C5F37">
        <w:rPr>
          <w:rFonts w:ascii="Arial" w:hAnsi="Arial"/>
          <w:bCs/>
          <w:sz w:val="20"/>
          <w:szCs w:val="20"/>
        </w:rPr>
        <w:t xml:space="preserve">Corn Disease Working Group (CDWG) </w:t>
      </w:r>
      <w:r w:rsidRPr="000C5F37">
        <w:rPr>
          <w:rFonts w:ascii="Arial" w:hAnsi="Arial"/>
          <w:bCs/>
          <w:sz w:val="20"/>
          <w:szCs w:val="20"/>
        </w:rPr>
        <w:t xml:space="preserve">has developed the following information on fungicide efficacy for control of </w:t>
      </w:r>
      <w:r w:rsidR="009A0AE7" w:rsidRPr="000C5F37">
        <w:rPr>
          <w:rFonts w:ascii="Arial" w:hAnsi="Arial"/>
          <w:bCs/>
          <w:sz w:val="20"/>
          <w:szCs w:val="20"/>
        </w:rPr>
        <w:t xml:space="preserve">major </w:t>
      </w:r>
      <w:r w:rsidR="00694743" w:rsidRPr="000C5F37">
        <w:rPr>
          <w:rFonts w:ascii="Arial" w:hAnsi="Arial"/>
          <w:bCs/>
          <w:sz w:val="20"/>
          <w:szCs w:val="20"/>
        </w:rPr>
        <w:t>corn</w:t>
      </w:r>
      <w:r w:rsidRPr="000C5F37">
        <w:rPr>
          <w:rFonts w:ascii="Arial" w:hAnsi="Arial"/>
          <w:bCs/>
          <w:sz w:val="20"/>
          <w:szCs w:val="20"/>
        </w:rPr>
        <w:t xml:space="preserve"> diseases</w:t>
      </w:r>
      <w:r w:rsidR="009A0AE7" w:rsidRPr="000C5F37">
        <w:rPr>
          <w:rFonts w:ascii="Arial" w:hAnsi="Arial"/>
          <w:bCs/>
          <w:sz w:val="20"/>
          <w:szCs w:val="20"/>
        </w:rPr>
        <w:t xml:space="preserve"> in the United States</w:t>
      </w:r>
      <w:r w:rsidR="00694743" w:rsidRPr="000C5F37">
        <w:rPr>
          <w:rFonts w:ascii="Arial" w:hAnsi="Arial"/>
          <w:bCs/>
          <w:sz w:val="20"/>
          <w:szCs w:val="20"/>
        </w:rPr>
        <w:t xml:space="preserve">. </w:t>
      </w:r>
      <w:r w:rsidRPr="000C5F37">
        <w:rPr>
          <w:rFonts w:ascii="Arial" w:hAnsi="Arial"/>
          <w:bCs/>
          <w:sz w:val="20"/>
          <w:szCs w:val="20"/>
        </w:rPr>
        <w:t xml:space="preserve"> Efficacy ratings for each fungicide listed in the table were determined by field testing the materials over multiple years and locations by the members of the committee. </w:t>
      </w:r>
      <w:r w:rsidR="00DC5690" w:rsidRPr="000C5F37">
        <w:rPr>
          <w:rFonts w:ascii="Arial" w:hAnsi="Arial"/>
          <w:bCs/>
          <w:sz w:val="20"/>
          <w:szCs w:val="20"/>
        </w:rPr>
        <w:t>Efficacy ratings are based upon level of disease control achieved</w:t>
      </w:r>
      <w:r w:rsidR="00187705" w:rsidRPr="000C5F37">
        <w:rPr>
          <w:rFonts w:ascii="Arial" w:hAnsi="Arial"/>
          <w:bCs/>
          <w:sz w:val="20"/>
          <w:szCs w:val="20"/>
        </w:rPr>
        <w:t xml:space="preserve"> by product</w:t>
      </w:r>
      <w:r w:rsidR="00DC5690" w:rsidRPr="000C5F37">
        <w:rPr>
          <w:rFonts w:ascii="Arial" w:hAnsi="Arial"/>
          <w:bCs/>
          <w:sz w:val="20"/>
          <w:szCs w:val="20"/>
        </w:rPr>
        <w:t xml:space="preserve">, and are not necessarily reflective of yield increases </w:t>
      </w:r>
      <w:r w:rsidR="00187705" w:rsidRPr="000C5F37">
        <w:rPr>
          <w:rFonts w:ascii="Arial" w:hAnsi="Arial"/>
          <w:bCs/>
          <w:sz w:val="20"/>
          <w:szCs w:val="20"/>
        </w:rPr>
        <w:t>obtained from</w:t>
      </w:r>
      <w:r w:rsidR="00DC5690" w:rsidRPr="000C5F37">
        <w:rPr>
          <w:rFonts w:ascii="Arial" w:hAnsi="Arial"/>
          <w:bCs/>
          <w:sz w:val="20"/>
          <w:szCs w:val="20"/>
        </w:rPr>
        <w:t xml:space="preserve"> product application.</w:t>
      </w:r>
      <w:r w:rsidRPr="000C5F37">
        <w:rPr>
          <w:rFonts w:ascii="Arial" w:hAnsi="Arial"/>
          <w:bCs/>
          <w:sz w:val="20"/>
          <w:szCs w:val="20"/>
        </w:rPr>
        <w:t xml:space="preserve"> Efficacy </w:t>
      </w:r>
      <w:r w:rsidR="00694743" w:rsidRPr="000C5F37">
        <w:rPr>
          <w:rFonts w:ascii="Arial" w:hAnsi="Arial"/>
          <w:bCs/>
          <w:sz w:val="20"/>
          <w:szCs w:val="20"/>
        </w:rPr>
        <w:t>depends up</w:t>
      </w:r>
      <w:r w:rsidRPr="000C5F37">
        <w:rPr>
          <w:rFonts w:ascii="Arial" w:hAnsi="Arial"/>
          <w:bCs/>
          <w:sz w:val="20"/>
          <w:szCs w:val="20"/>
        </w:rPr>
        <w:t>on proper application timing</w:t>
      </w:r>
      <w:r w:rsidR="00694743" w:rsidRPr="000C5F37">
        <w:rPr>
          <w:rFonts w:ascii="Arial" w:hAnsi="Arial"/>
          <w:bCs/>
          <w:sz w:val="20"/>
          <w:szCs w:val="20"/>
        </w:rPr>
        <w:t>, rate, and application method</w:t>
      </w:r>
      <w:r w:rsidRPr="000C5F37">
        <w:rPr>
          <w:rFonts w:ascii="Arial" w:hAnsi="Arial"/>
          <w:bCs/>
          <w:sz w:val="20"/>
          <w:szCs w:val="20"/>
        </w:rPr>
        <w:t xml:space="preserve"> to achieve optimum effectiveness of the fungicide as determined by labeled instructions and overall level of disease in the field at the time of application. </w:t>
      </w:r>
      <w:r w:rsidRPr="000C5F37">
        <w:rPr>
          <w:rFonts w:ascii="Arial" w:hAnsi="Arial"/>
          <w:bCs/>
          <w:sz w:val="20"/>
          <w:szCs w:val="20"/>
          <w:u w:val="single"/>
        </w:rPr>
        <w:t xml:space="preserve">Differences in efficacy among fungicide products were determined by direct comparisons among products in field tests and are based on a </w:t>
      </w:r>
      <w:r w:rsidRPr="000C5F37">
        <w:rPr>
          <w:rFonts w:ascii="Arial" w:hAnsi="Arial"/>
          <w:bCs/>
          <w:i/>
          <w:sz w:val="20"/>
          <w:szCs w:val="20"/>
          <w:u w:val="single"/>
        </w:rPr>
        <w:t>single application</w:t>
      </w:r>
      <w:r w:rsidRPr="000C5F37">
        <w:rPr>
          <w:rFonts w:ascii="Arial" w:hAnsi="Arial"/>
          <w:bCs/>
          <w:sz w:val="20"/>
          <w:szCs w:val="20"/>
          <w:u w:val="single"/>
        </w:rPr>
        <w:t xml:space="preserve"> of the labeled rate as listed in the table.</w:t>
      </w:r>
      <w:r w:rsidRPr="000C5F37">
        <w:rPr>
          <w:rFonts w:ascii="Arial" w:hAnsi="Arial"/>
          <w:bCs/>
          <w:sz w:val="20"/>
          <w:szCs w:val="20"/>
        </w:rPr>
        <w:t xml:space="preserve"> </w:t>
      </w:r>
      <w:r w:rsidR="008654F7" w:rsidRPr="000C5F37">
        <w:rPr>
          <w:rFonts w:ascii="Arial" w:hAnsi="Arial"/>
          <w:b/>
          <w:bCs/>
          <w:sz w:val="20"/>
          <w:szCs w:val="20"/>
        </w:rPr>
        <w:t>Table includes systemic fungicides available that have been tested over multiple years and locations. The table is not intended to be a list of all labeled products</w:t>
      </w:r>
      <w:r w:rsidR="008654F7" w:rsidRPr="000C5F37">
        <w:rPr>
          <w:rFonts w:ascii="Arial" w:hAnsi="Arial"/>
          <w:b/>
          <w:bCs/>
          <w:sz w:val="20"/>
          <w:szCs w:val="20"/>
          <w:vertAlign w:val="superscript"/>
        </w:rPr>
        <w:t>1</w:t>
      </w:r>
      <w:r w:rsidRPr="000C5F37">
        <w:rPr>
          <w:rFonts w:ascii="Arial" w:hAnsi="Arial"/>
          <w:bCs/>
          <w:sz w:val="20"/>
          <w:szCs w:val="20"/>
        </w:rPr>
        <w:t xml:space="preserve">. </w:t>
      </w:r>
      <w:r w:rsidR="00211C39" w:rsidRPr="000C5F37">
        <w:rPr>
          <w:rFonts w:ascii="Arial" w:hAnsi="Arial"/>
          <w:sz w:val="20"/>
          <w:szCs w:val="20"/>
        </w:rPr>
        <w:t>Efficacy categories: NR=Not Recommended; P=Poor; F=Fair; G=Good; VG=Very Good; E=Excellent; NL = Not Labeled for use against this disease</w:t>
      </w:r>
      <w:r w:rsidR="000C5F37">
        <w:rPr>
          <w:rFonts w:ascii="Arial" w:hAnsi="Arial"/>
          <w:sz w:val="20"/>
          <w:szCs w:val="20"/>
        </w:rPr>
        <w:t>;</w:t>
      </w:r>
      <w:r w:rsidR="006E26A4">
        <w:rPr>
          <w:rFonts w:ascii="Arial" w:hAnsi="Arial"/>
          <w:sz w:val="20"/>
          <w:szCs w:val="20"/>
        </w:rPr>
        <w:t xml:space="preserve"> U</w:t>
      </w:r>
      <w:r w:rsidR="00211C39" w:rsidRPr="000C5F37">
        <w:rPr>
          <w:rFonts w:ascii="Arial" w:hAnsi="Arial"/>
          <w:sz w:val="20"/>
          <w:szCs w:val="20"/>
        </w:rPr>
        <w:t xml:space="preserve"> = </w:t>
      </w:r>
      <w:r w:rsidR="006E26A4">
        <w:rPr>
          <w:rFonts w:ascii="Arial" w:hAnsi="Arial"/>
          <w:sz w:val="20"/>
          <w:szCs w:val="20"/>
        </w:rPr>
        <w:t>Unknown efficacy or i</w:t>
      </w:r>
      <w:r w:rsidR="00211C39" w:rsidRPr="000C5F37">
        <w:rPr>
          <w:rFonts w:ascii="Arial" w:hAnsi="Arial"/>
          <w:sz w:val="20"/>
          <w:szCs w:val="20"/>
        </w:rPr>
        <w:t xml:space="preserve">nsufficient data to </w:t>
      </w:r>
      <w:r w:rsidR="006E26A4">
        <w:rPr>
          <w:rFonts w:ascii="Arial" w:hAnsi="Arial"/>
          <w:sz w:val="20"/>
          <w:szCs w:val="20"/>
        </w:rPr>
        <w:t>rank product</w:t>
      </w:r>
    </w:p>
    <w:tbl>
      <w:tblPr>
        <w:tblpPr w:leftFromText="180" w:rightFromText="180" w:vertAnchor="text" w:horzAnchor="margin" w:tblpY="146"/>
        <w:tblW w:w="4976" w:type="pct"/>
        <w:tblLayout w:type="fixed"/>
        <w:tblLook w:val="0000" w:firstRow="0" w:lastRow="0" w:firstColumn="0" w:lastColumn="0" w:noHBand="0" w:noVBand="0"/>
      </w:tblPr>
      <w:tblGrid>
        <w:gridCol w:w="910"/>
        <w:gridCol w:w="1950"/>
        <w:gridCol w:w="1711"/>
        <w:gridCol w:w="1082"/>
        <w:gridCol w:w="1531"/>
        <w:gridCol w:w="1085"/>
        <w:gridCol w:w="1170"/>
        <w:gridCol w:w="1170"/>
        <w:gridCol w:w="1349"/>
        <w:gridCol w:w="1440"/>
        <w:gridCol w:w="1793"/>
      </w:tblGrid>
      <w:tr w:rsidR="00211C39" w:rsidRPr="00F42DC1" w14:paraId="4DEBC0F1" w14:textId="77777777" w:rsidTr="00211C39">
        <w:trPr>
          <w:trHeight w:val="326"/>
        </w:trPr>
        <w:tc>
          <w:tcPr>
            <w:tcW w:w="1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14:paraId="7668ADB3" w14:textId="77777777" w:rsidR="00211C39" w:rsidRPr="00F42DC1" w:rsidRDefault="00211C39" w:rsidP="00694743">
            <w:pPr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Fungicide(s)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DCAC88" w14:textId="77777777" w:rsidR="00211C39" w:rsidRPr="009A0AE7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4D3A4AA" w14:textId="77777777" w:rsidR="00211C39" w:rsidRPr="009A0AE7" w:rsidRDefault="00211C39" w:rsidP="009A0AE7">
            <w:pPr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660DDA2" w14:textId="77777777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D235B74" w14:textId="77777777" w:rsidR="00211C39" w:rsidRPr="009A0AE7" w:rsidRDefault="00211C39" w:rsidP="009A0AE7">
            <w:pPr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078558C" w14:textId="77777777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3769E9E" w14:textId="77777777" w:rsidR="00211C39" w:rsidRPr="009A0AE7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24360F7" w14:textId="77777777" w:rsidR="00211C39" w:rsidRPr="009A0AE7" w:rsidRDefault="00211C39" w:rsidP="009A0AE7">
            <w:pPr>
              <w:snapToGrid w:val="0"/>
              <w:spacing w:before="1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11C39" w:rsidRPr="00F42DC1" w14:paraId="2217C676" w14:textId="77777777" w:rsidTr="00B744D2">
        <w:trPr>
          <w:trHeight w:val="52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14:paraId="6855B5E4" w14:textId="77777777" w:rsidR="00211C39" w:rsidRPr="00F42DC1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B2FCB96" w14:textId="77777777" w:rsidR="00211C39" w:rsidRPr="00F42DC1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Active ingredient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3A21894" w14:textId="77777777" w:rsidR="00211C39" w:rsidRPr="00F42DC1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Product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/Trade name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bottom"/>
          </w:tcPr>
          <w:p w14:paraId="6C95AC7F" w14:textId="77777777" w:rsidR="00211C39" w:rsidRPr="00F42DC1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Rate/A  </w:t>
            </w:r>
          </w:p>
          <w:p w14:paraId="45076FF5" w14:textId="77777777" w:rsidR="00211C39" w:rsidRPr="00F42DC1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(fl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oz)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5EF287" w14:textId="77777777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Anthracnose leaf blight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A8B0DCB" w14:textId="77777777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Common rust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39CFC0A" w14:textId="77777777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Eyespot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87DD68F" w14:textId="77777777" w:rsidR="00211C39" w:rsidRPr="009A0AE7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Gray leaf spot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E9D1E5D" w14:textId="77777777" w:rsidR="00211C39" w:rsidRPr="009A0AE7" w:rsidRDefault="00211C39" w:rsidP="009A0AE7">
            <w:pPr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Northern leaf blight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CA2BDA3" w14:textId="77777777" w:rsidR="00211C39" w:rsidRPr="009A0AE7" w:rsidRDefault="00211C39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Southern rust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D7D1191" w14:textId="7F58E5BA" w:rsidR="00211C39" w:rsidRPr="009A0AE7" w:rsidRDefault="00211C39" w:rsidP="009A0AE7">
            <w:pPr>
              <w:snapToGrid w:val="0"/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AE7">
              <w:rPr>
                <w:rFonts w:ascii="Arial" w:hAnsi="Arial" w:cs="Arial"/>
                <w:b/>
                <w:bCs/>
                <w:sz w:val="16"/>
                <w:szCs w:val="16"/>
              </w:rPr>
              <w:t>Harvest Restriction</w:t>
            </w:r>
            <w:r w:rsidR="000C5F3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8654F7" w:rsidRPr="00F42DC1" w14:paraId="59CB1F74" w14:textId="77777777" w:rsidTr="00B744D2">
        <w:trPr>
          <w:cantSplit/>
          <w:trHeight w:val="454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05256E18" w14:textId="04F12C71" w:rsidR="008654F7" w:rsidRPr="00F42DC1" w:rsidRDefault="008654F7" w:rsidP="009A0AE7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QoI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Strobilurin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07FD3E4D" w14:textId="77777777" w:rsidR="008654F7" w:rsidRPr="00F42DC1" w:rsidRDefault="008654F7" w:rsidP="009A0AE7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Group 11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94BD090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Azoxystrobin 22.9%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6DA137D" w14:textId="77777777" w:rsidR="008654F7" w:rsidRDefault="008654F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Quadris 2.08 SC</w:t>
            </w:r>
          </w:p>
          <w:p w14:paraId="0C8CEDD2" w14:textId="672A774D" w:rsidR="007447A7" w:rsidRPr="00F42DC1" w:rsidRDefault="007447A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Multiple Generics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58C4C09" w14:textId="77777777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6.0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15.5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4DB855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AA55E29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51A1718" w14:textId="67D85170" w:rsidR="008654F7" w:rsidRPr="00F42DC1" w:rsidRDefault="004560BD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4F4E983" w14:textId="1072180B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AEE862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B15CE5E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34644D3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7 days</w:t>
            </w:r>
          </w:p>
        </w:tc>
      </w:tr>
      <w:tr w:rsidR="008654F7" w:rsidRPr="00F42DC1" w14:paraId="2D9DCF9F" w14:textId="77777777" w:rsidTr="00B744D2">
        <w:trPr>
          <w:cantSplit/>
          <w:trHeight w:val="580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608285F2" w14:textId="77777777" w:rsidR="008654F7" w:rsidRPr="00F42DC1" w:rsidRDefault="008654F7" w:rsidP="009A0AE7">
            <w:pPr>
              <w:snapToGrid w:val="0"/>
              <w:spacing w:before="115" w:after="50" w:line="12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A5988D5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Pyraclostrobin 23.6%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7E306C8" w14:textId="77777777" w:rsidR="008654F7" w:rsidRPr="00F42DC1" w:rsidRDefault="008654F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Headline 2.09 EC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/SC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B87F15C" w14:textId="77777777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6.0 -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12.0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94333EF" w14:textId="04C77542" w:rsidR="008654F7" w:rsidRPr="00F42DC1" w:rsidRDefault="002158C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22C25AC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2AE2D1F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F05DED7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F42E37B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41DA572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5C7D0B1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7 days</w:t>
            </w:r>
          </w:p>
        </w:tc>
      </w:tr>
      <w:tr w:rsidR="008654F7" w:rsidRPr="00F42DC1" w14:paraId="46CE34A2" w14:textId="77777777" w:rsidTr="00B744D2">
        <w:trPr>
          <w:cantSplit/>
          <w:trHeight w:val="580"/>
        </w:trPr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192F3CE2" w14:textId="77777777" w:rsidR="008654F7" w:rsidRPr="00F42DC1" w:rsidRDefault="008654F7" w:rsidP="009A0AE7">
            <w:pPr>
              <w:snapToGrid w:val="0"/>
              <w:spacing w:before="115" w:after="50" w:line="12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43F7422" w14:textId="220B246D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Picoxystrobin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1570D03" w14:textId="20811BCD" w:rsidR="008654F7" w:rsidRPr="00F42DC1" w:rsidRDefault="008654F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Aproach 2.08 SC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39B075B" w14:textId="2D3FE076" w:rsidR="008654F7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3.0 – 12.0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D75EAAD" w14:textId="16E48C68" w:rsidR="008654F7" w:rsidRDefault="002158C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FB8C6A9" w14:textId="03AD8AA2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  <w:r w:rsidR="007C0BA4">
              <w:rPr>
                <w:rFonts w:ascii="Arial" w:hAnsi="Arial" w:cs="Arial"/>
                <w:sz w:val="16"/>
                <w:szCs w:val="16"/>
              </w:rPr>
              <w:t>-E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EAA3D1A" w14:textId="70B91D50" w:rsidR="008654F7" w:rsidRDefault="004560BD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3F6E418" w14:textId="42CA2E34" w:rsidR="008654F7" w:rsidRDefault="003B7229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F-VG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199116F" w14:textId="505D2282" w:rsidR="008654F7" w:rsidRDefault="002158C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83EA950" w14:textId="434470FB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6F241AB" w14:textId="5EBE30FF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days</w:t>
            </w:r>
          </w:p>
        </w:tc>
      </w:tr>
      <w:tr w:rsidR="008654F7" w:rsidRPr="00F42DC1" w14:paraId="0877AFB0" w14:textId="77777777" w:rsidTr="00B744D2">
        <w:trPr>
          <w:cantSplit/>
          <w:trHeight w:val="644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1A32DEE1" w14:textId="4C416CA1" w:rsidR="008654F7" w:rsidRPr="00F42DC1" w:rsidRDefault="008654F7" w:rsidP="009A0AE7">
            <w:pPr>
              <w:snapToGrid w:val="0"/>
              <w:spacing w:before="115" w:after="50" w:line="12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DMI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Triazole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2C9D2898" w14:textId="77777777" w:rsidR="008654F7" w:rsidRPr="00F42DC1" w:rsidRDefault="008654F7" w:rsidP="009A0AE7">
            <w:pPr>
              <w:snapToGrid w:val="0"/>
              <w:spacing w:before="115" w:after="50" w:line="12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Group 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42B144E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Propiconazole 41.8%</w:t>
            </w:r>
          </w:p>
        </w:tc>
        <w:tc>
          <w:tcPr>
            <w:tcW w:w="563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2BA21C1" w14:textId="77777777" w:rsidR="008654F7" w:rsidRDefault="008654F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Tilt 3.6 EC </w:t>
            </w:r>
          </w:p>
          <w:p w14:paraId="23B6B9F2" w14:textId="4DFAA66B" w:rsidR="008654F7" w:rsidRPr="00F42DC1" w:rsidRDefault="008654F7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Multiple Generics</w:t>
            </w:r>
          </w:p>
        </w:tc>
        <w:tc>
          <w:tcPr>
            <w:tcW w:w="356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40848F0" w14:textId="77777777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CE2F8BA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NL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A6CD3BB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C0396CE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0BD4FED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9B010EF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28698DC" w14:textId="77777777" w:rsidR="008654F7" w:rsidRPr="00F13236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4EBE332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</w:tr>
      <w:tr w:rsidR="008654F7" w:rsidRPr="00F42DC1" w14:paraId="7BA17917" w14:textId="77777777" w:rsidTr="00B744D2">
        <w:trPr>
          <w:cantSplit/>
          <w:trHeight w:val="499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</w:tcPr>
          <w:p w14:paraId="729BA117" w14:textId="77777777" w:rsidR="008654F7" w:rsidRPr="00F42DC1" w:rsidRDefault="008654F7" w:rsidP="009A0AE7">
            <w:pPr>
              <w:snapToGrid w:val="0"/>
              <w:spacing w:before="115"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7519F0" w14:textId="65DE1C72" w:rsidR="008654F7" w:rsidRPr="00F42DC1" w:rsidRDefault="008654F7" w:rsidP="00211C39">
            <w:pPr>
              <w:snapToGrid w:val="0"/>
              <w:spacing w:before="50" w:line="12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Prothioconazole 41.0%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470ED25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Proline 480 SC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B467FED" w14:textId="77777777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AA69EFC" w14:textId="6319B019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52DF500" w14:textId="7ED08C60" w:rsidR="008654F7" w:rsidRDefault="002158C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F1CD777" w14:textId="000E4831" w:rsidR="008654F7" w:rsidRDefault="002158C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082E199" w14:textId="12CFC6B7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8157DAD" w14:textId="77777777" w:rsidR="008654F7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B83408B" w14:textId="1D10664A" w:rsidR="008654F7" w:rsidRDefault="004560BD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41C14D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days</w:t>
            </w:r>
          </w:p>
        </w:tc>
      </w:tr>
      <w:tr w:rsidR="008654F7" w:rsidRPr="00F42DC1" w14:paraId="1A80EA1B" w14:textId="77777777" w:rsidTr="00B744D2">
        <w:trPr>
          <w:cantSplit/>
          <w:trHeight w:val="499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</w:tcPr>
          <w:p w14:paraId="7CAF6A8D" w14:textId="77777777" w:rsidR="008654F7" w:rsidRPr="00F42DC1" w:rsidRDefault="008654F7" w:rsidP="009A0AE7">
            <w:pPr>
              <w:snapToGrid w:val="0"/>
              <w:spacing w:before="115"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4B5DABA" w14:textId="61E59C0B" w:rsidR="008654F7" w:rsidRPr="00F42DC1" w:rsidRDefault="008654F7" w:rsidP="00211C39">
            <w:pPr>
              <w:snapToGrid w:val="0"/>
              <w:spacing w:before="50" w:line="12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Tebuconazole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38.7%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F94CB57" w14:textId="7EFF9144" w:rsidR="008654F7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Folicur 3.6 F</w:t>
            </w:r>
          </w:p>
          <w:p w14:paraId="1A49A42C" w14:textId="61AE83B5" w:rsidR="008654F7" w:rsidRPr="004C58EF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Multiple Generics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62BDE1D" w14:textId="77777777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4.0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BF4C5DE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NL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857AC7D" w14:textId="53642E04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6812542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NL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37F1365" w14:textId="33768835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D17C8EE" w14:textId="77777777" w:rsidR="008654F7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48437FC" w14:textId="68618699" w:rsidR="008654F7" w:rsidRPr="00F13236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BF85E8" w14:textId="77777777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36 days</w:t>
            </w:r>
          </w:p>
        </w:tc>
      </w:tr>
      <w:tr w:rsidR="008654F7" w:rsidRPr="00F42DC1" w14:paraId="327AC3FB" w14:textId="77777777" w:rsidTr="00B744D2">
        <w:trPr>
          <w:cantSplit/>
          <w:trHeight w:val="499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</w:tcPr>
          <w:p w14:paraId="14B156FA" w14:textId="77777777" w:rsidR="008654F7" w:rsidRPr="00F42DC1" w:rsidRDefault="008654F7" w:rsidP="009A0AE7">
            <w:pPr>
              <w:snapToGrid w:val="0"/>
              <w:spacing w:before="115"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6265BF" w14:textId="397E63D6" w:rsidR="008654F7" w:rsidRPr="00F42DC1" w:rsidRDefault="008654F7" w:rsidP="00211C39">
            <w:pPr>
              <w:snapToGrid w:val="0"/>
              <w:spacing w:before="50" w:line="12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Tetraconazole 20.5%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5438A50" w14:textId="77777777" w:rsidR="008654F7" w:rsidRDefault="008654F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Domark 230 ME</w:t>
            </w:r>
          </w:p>
          <w:p w14:paraId="43E641AE" w14:textId="2B1DF202" w:rsidR="007447A7" w:rsidRPr="00F42DC1" w:rsidRDefault="007447A7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Multiple Generics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3727C43" w14:textId="6E31AB6F" w:rsidR="008654F7" w:rsidRPr="00F42DC1" w:rsidRDefault="008654F7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4.0 – 6.0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A15FE32" w14:textId="38A199D1" w:rsidR="008654F7" w:rsidRPr="00F42DC1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8C56E5A" w14:textId="72A21107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927304A" w14:textId="5BA74868" w:rsidR="008654F7" w:rsidRPr="00F42DC1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F744633" w14:textId="1CD460B5" w:rsidR="008654F7" w:rsidRDefault="003B7229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AB5D8A8" w14:textId="56A6EC28" w:rsidR="008654F7" w:rsidRDefault="006E26A4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D45A5D6" w14:textId="08A667EC" w:rsidR="008654F7" w:rsidRPr="00F13236" w:rsidRDefault="004560BD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F7BF82" w14:textId="6AE9A7C1" w:rsidR="008654F7" w:rsidRPr="00F42DC1" w:rsidRDefault="008654F7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R3</w:t>
            </w:r>
            <w:r w:rsidR="000C5F37">
              <w:rPr>
                <w:rFonts w:ascii="Arial" w:hAnsi="Arial" w:cs="Arial"/>
                <w:sz w:val="16"/>
                <w:szCs w:val="16"/>
              </w:rPr>
              <w:t xml:space="preserve"> (milk)</w:t>
            </w:r>
          </w:p>
        </w:tc>
      </w:tr>
      <w:tr w:rsidR="00F53E55" w:rsidRPr="00F42DC1" w14:paraId="2CF93F86" w14:textId="77777777" w:rsidTr="00B744D2">
        <w:trPr>
          <w:cantSplit/>
          <w:trHeight w:val="526"/>
        </w:trPr>
        <w:tc>
          <w:tcPr>
            <w:tcW w:w="3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23EA41C0" w14:textId="275AEF74" w:rsidR="00F53E55" w:rsidRPr="00F42DC1" w:rsidRDefault="00F53E55" w:rsidP="009A0AE7">
            <w:pPr>
              <w:spacing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Mixed modes of action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CE932D9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Azoxystrobin 13.5%</w:t>
            </w:r>
          </w:p>
          <w:p w14:paraId="49508F57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Propiconazole 11.7%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536E86E" w14:textId="77777777" w:rsidR="00F53E55" w:rsidRDefault="00F53E55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Quilt Xcel 2.2 SE</w:t>
            </w:r>
          </w:p>
          <w:p w14:paraId="3297D4A6" w14:textId="5BA9F28E" w:rsidR="00F53E55" w:rsidRPr="00F42DC1" w:rsidRDefault="00F53E55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Aframe Plus 2.2 SE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5C5A832" w14:textId="77777777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10.5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AD22902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B7BF6F6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VG-E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DBE0EEA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VG-E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F4EEECB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22B95AC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D19BC9A" w14:textId="77777777" w:rsidR="00F53E55" w:rsidRPr="00F13236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3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97447F4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</w:tr>
      <w:tr w:rsidR="00F53E55" w:rsidRPr="00F42DC1" w14:paraId="43D6A2FF" w14:textId="77777777" w:rsidTr="00634F9E">
        <w:trPr>
          <w:trHeight w:val="644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29C3193E" w14:textId="77777777" w:rsidR="00F53E55" w:rsidRPr="00F42DC1" w:rsidRDefault="00F53E55" w:rsidP="009A0AE7">
            <w:pPr>
              <w:spacing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5F8DDCA" w14:textId="77777777" w:rsidR="00F53E55" w:rsidRDefault="00F53E55" w:rsidP="00C336CA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Cyproconazole 7.17%</w:t>
            </w:r>
          </w:p>
          <w:p w14:paraId="3CAC1EB0" w14:textId="77616A04" w:rsidR="00F53E55" w:rsidRPr="00F42DC1" w:rsidRDefault="00F53E55" w:rsidP="009A0AE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Picoxystrobin 17.94%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F2D2146" w14:textId="77777777" w:rsidR="00F53E55" w:rsidRDefault="00F53E55" w:rsidP="00C336C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Aproach Prima</w:t>
            </w:r>
          </w:p>
          <w:p w14:paraId="32222480" w14:textId="31626428" w:rsidR="00F53E55" w:rsidRPr="00F42DC1" w:rsidRDefault="00F53E55" w:rsidP="009A0AE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2.34 SC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2DEFED1" w14:textId="127CE46C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3.4 – 6.8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E27A3C" w14:textId="56C4AB8D" w:rsidR="00F53E55" w:rsidRPr="00634F9E" w:rsidRDefault="00634F9E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F9E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780F43" w14:textId="51F61D35" w:rsidR="00F53E55" w:rsidRPr="00634F9E" w:rsidRDefault="00634F9E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EE5168" w14:textId="69CB640D" w:rsidR="00F53E55" w:rsidRPr="00634F9E" w:rsidRDefault="00634F9E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B5FB57" w14:textId="1191EC98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781C7D" w14:textId="339B6F06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E99FC2" w14:textId="1D01DB95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2A29FBB" w14:textId="26A91166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</w:tr>
      <w:tr w:rsidR="00F53E55" w:rsidRPr="00F42DC1" w14:paraId="7E959A4C" w14:textId="77777777" w:rsidTr="00634F9E">
        <w:trPr>
          <w:trHeight w:val="644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5D3EEA92" w14:textId="77777777" w:rsidR="00F53E55" w:rsidRPr="00F42DC1" w:rsidRDefault="00F53E55" w:rsidP="009A0AE7">
            <w:pPr>
              <w:spacing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BABFD81" w14:textId="77777777" w:rsidR="00F53E55" w:rsidRDefault="00F53E55" w:rsidP="00C336CA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Flutriafol 19.3%</w:t>
            </w:r>
          </w:p>
          <w:p w14:paraId="51B9D501" w14:textId="60290724" w:rsidR="00F53E55" w:rsidRPr="00F42DC1" w:rsidRDefault="00F53E55" w:rsidP="009A0AE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Fluoxastrobin 14.84%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FA1186B" w14:textId="77777777" w:rsidR="00F53E55" w:rsidRDefault="00F53E55" w:rsidP="009A0AE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Fortix</w:t>
            </w:r>
          </w:p>
          <w:p w14:paraId="612D6BC4" w14:textId="42329FCE" w:rsidR="00F53E55" w:rsidRPr="00F42DC1" w:rsidRDefault="00F53E55" w:rsidP="009A0AE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3.22 SC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68C2754" w14:textId="2D1AA35E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4.0 -6.0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CD9549" w14:textId="3ACA32D8" w:rsidR="00F53E55" w:rsidRPr="00634F9E" w:rsidRDefault="00634F9E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F9E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E4EE36" w14:textId="7A0D666D" w:rsidR="00F53E55" w:rsidRPr="00634F9E" w:rsidRDefault="00634F9E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93352D" w14:textId="6F1F5B41" w:rsidR="00F53E55" w:rsidRPr="00634F9E" w:rsidRDefault="00634F9E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6BFBF4" w14:textId="262E3AE4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AD9C2D" w14:textId="6CFF19E9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4D50B4" w14:textId="6B5193AE" w:rsidR="00F53E55" w:rsidRPr="00634F9E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34F9E"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61DC183" w14:textId="71FA154D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R4 (dough)</w:t>
            </w:r>
          </w:p>
        </w:tc>
      </w:tr>
      <w:tr w:rsidR="00F53E55" w:rsidRPr="00F42DC1" w14:paraId="10D79CAD" w14:textId="77777777" w:rsidTr="00B744D2">
        <w:trPr>
          <w:trHeight w:val="644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7106B006" w14:textId="77777777" w:rsidR="00F53E55" w:rsidRPr="00F42DC1" w:rsidRDefault="00F53E55" w:rsidP="009A0AE7">
            <w:pPr>
              <w:spacing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89BC6CC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Pyraclostrobin 13.6%</w:t>
            </w:r>
          </w:p>
          <w:p w14:paraId="7B265A3F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Metconazole 5.1%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9611070" w14:textId="77777777" w:rsidR="00F53E55" w:rsidRPr="00F42DC1" w:rsidRDefault="00F53E55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Headline AMP 1.68 SC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BC03B61" w14:textId="77777777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10.0 -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14.4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8B2D5E6" w14:textId="17E9DFB1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FC4B47F" w14:textId="77777777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84D1ABF" w14:textId="77777777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107C41E" w14:textId="77777777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1FB653F" w14:textId="77777777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468247C" w14:textId="77777777" w:rsidR="00F53E55" w:rsidRPr="00F13236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CD6A07C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DC1">
              <w:rPr>
                <w:rFonts w:ascii="Arial" w:hAnsi="Arial" w:cs="Arial"/>
                <w:sz w:val="16"/>
                <w:szCs w:val="16"/>
              </w:rPr>
              <w:t>20 days</w:t>
            </w:r>
          </w:p>
        </w:tc>
      </w:tr>
      <w:tr w:rsidR="00F53E55" w:rsidRPr="00F42DC1" w14:paraId="5B9C436B" w14:textId="77777777" w:rsidTr="00B744D2">
        <w:trPr>
          <w:trHeight w:val="644"/>
        </w:trPr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textDirection w:val="btLr"/>
            <w:vAlign w:val="center"/>
          </w:tcPr>
          <w:p w14:paraId="4D4F6F32" w14:textId="77777777" w:rsidR="00F53E55" w:rsidRPr="00F42DC1" w:rsidRDefault="00F53E55" w:rsidP="009A0AE7">
            <w:pPr>
              <w:spacing w:after="5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07A3890" w14:textId="77777777" w:rsidR="00F53E55" w:rsidRPr="00F42DC1" w:rsidRDefault="00F53E55" w:rsidP="00211C39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 xml:space="preserve">Pyraclostrobin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28.58</w:t>
            </w: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%</w:t>
            </w:r>
          </w:p>
          <w:p w14:paraId="7B69BA6F" w14:textId="6BD8A482" w:rsidR="00F53E55" w:rsidRPr="00F42DC1" w:rsidRDefault="00F53E55" w:rsidP="009A0AE7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Fluxapyroxad 14.33</w:t>
            </w: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12BF1E8" w14:textId="77777777" w:rsidR="00F53E55" w:rsidRDefault="00F53E55" w:rsidP="00211C3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Priaxor</w:t>
            </w:r>
          </w:p>
          <w:p w14:paraId="22223C65" w14:textId="3DEC3F34" w:rsidR="00F53E55" w:rsidRPr="00F42DC1" w:rsidRDefault="00F53E55" w:rsidP="009A0AE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4.17</w:t>
            </w: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 xml:space="preserve"> SC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673C323" w14:textId="2B41735A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F42DC1">
              <w:rPr>
                <w:rFonts w:ascii="Arial" w:hAnsi="Arial"/>
                <w:b/>
                <w:bCs/>
                <w:sz w:val="16"/>
                <w:szCs w:val="16"/>
              </w:rPr>
              <w:t xml:space="preserve">.0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– 8.0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211E463" w14:textId="1FBE2674" w:rsidR="00F53E55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33739F87" w14:textId="0041A537" w:rsidR="00F53E55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5BBD7BB" w14:textId="17728B95" w:rsidR="00F53E55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500B08" w14:textId="08A12E3C" w:rsidR="00F53E55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3C4138A" w14:textId="6843AD53" w:rsidR="00F53E55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42E629B" w14:textId="1930ECBE" w:rsidR="00F53E55" w:rsidRDefault="00F53E55" w:rsidP="009A0AE7">
            <w:pPr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289CD77" w14:textId="0DC8785D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days</w:t>
            </w:r>
          </w:p>
        </w:tc>
      </w:tr>
      <w:tr w:rsidR="00F53E55" w:rsidRPr="00F42DC1" w14:paraId="30695DA3" w14:textId="77777777" w:rsidTr="00B744D2">
        <w:trPr>
          <w:trHeight w:val="400"/>
        </w:trPr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711DE0C" w14:textId="77777777" w:rsidR="00F53E55" w:rsidRPr="00F42DC1" w:rsidRDefault="00F53E55" w:rsidP="009A0AE7">
            <w:pPr>
              <w:spacing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3804A3F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Trifloxystrobin 32.3%</w:t>
            </w:r>
          </w:p>
          <w:p w14:paraId="1BAD5590" w14:textId="77777777" w:rsidR="00F53E55" w:rsidRPr="00F42DC1" w:rsidRDefault="00F53E55" w:rsidP="0033381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Prothioconazole 10.8%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3B846C2" w14:textId="77777777" w:rsidR="00F53E55" w:rsidRPr="00F42DC1" w:rsidRDefault="00F53E55" w:rsidP="009A0A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Stratego YLD 4.18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SC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2F7F6B53" w14:textId="77777777" w:rsidR="00F53E55" w:rsidRPr="00F42DC1" w:rsidRDefault="00F53E55" w:rsidP="009A0AE7">
            <w:pPr>
              <w:snapToGrid w:val="0"/>
              <w:spacing w:before="115" w:after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4.0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42DC1">
              <w:rPr>
                <w:rFonts w:ascii="Arial" w:hAnsi="Arial" w:cs="Arial"/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64529BE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65F28A6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BA76535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FE29A98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35161E9" w14:textId="77777777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6425CCF5" w14:textId="77777777" w:rsidR="00F53E55" w:rsidRPr="00F13236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F13236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5377A7B3" w14:textId="4E69CBE6" w:rsidR="00F53E55" w:rsidRPr="00F42DC1" w:rsidRDefault="00F53E55" w:rsidP="009A0AE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F42DC1">
              <w:rPr>
                <w:rFonts w:ascii="Arial" w:hAnsi="Arial" w:cs="Arial"/>
                <w:sz w:val="16"/>
                <w:szCs w:val="16"/>
              </w:rPr>
              <w:t xml:space="preserve"> days</w:t>
            </w:r>
          </w:p>
        </w:tc>
      </w:tr>
    </w:tbl>
    <w:p w14:paraId="553A12D3" w14:textId="7651443F" w:rsidR="00556C18" w:rsidRPr="0033381C" w:rsidRDefault="0033381C" w:rsidP="00556C18">
      <w:pPr>
        <w:rPr>
          <w:rFonts w:ascii="Arial" w:hAnsi="Arial"/>
          <w:sz w:val="18"/>
          <w:szCs w:val="18"/>
        </w:rPr>
      </w:pPr>
      <w:r w:rsidRPr="0033381C">
        <w:rPr>
          <w:rFonts w:ascii="Arial" w:hAnsi="Arial"/>
          <w:sz w:val="18"/>
          <w:szCs w:val="18"/>
          <w:vertAlign w:val="superscript"/>
        </w:rPr>
        <w:t>1</w:t>
      </w:r>
      <w:r w:rsidRPr="0033381C">
        <w:rPr>
          <w:rFonts w:ascii="Arial" w:hAnsi="Arial"/>
          <w:sz w:val="18"/>
          <w:szCs w:val="18"/>
        </w:rPr>
        <w:t xml:space="preserve">Additional fungicides </w:t>
      </w:r>
      <w:r w:rsidR="008654F7">
        <w:rPr>
          <w:rFonts w:ascii="Arial" w:hAnsi="Arial"/>
          <w:sz w:val="18"/>
          <w:szCs w:val="18"/>
        </w:rPr>
        <w:t>are l</w:t>
      </w:r>
      <w:r w:rsidR="000C5F37">
        <w:rPr>
          <w:rFonts w:ascii="Arial" w:hAnsi="Arial"/>
          <w:sz w:val="18"/>
          <w:szCs w:val="18"/>
        </w:rPr>
        <w:t xml:space="preserve">abeled for disease on corn, including contact fungicides such as chlorothalonil. Certain fungicides </w:t>
      </w:r>
      <w:r w:rsidR="008654F7">
        <w:rPr>
          <w:rFonts w:ascii="Arial" w:hAnsi="Arial"/>
          <w:sz w:val="18"/>
          <w:szCs w:val="18"/>
        </w:rPr>
        <w:t>may be available for disease</w:t>
      </w:r>
      <w:r w:rsidR="000C5F37">
        <w:rPr>
          <w:rFonts w:ascii="Arial" w:hAnsi="Arial"/>
          <w:sz w:val="18"/>
          <w:szCs w:val="18"/>
        </w:rPr>
        <w:t>s</w:t>
      </w:r>
      <w:r w:rsidR="008654F7">
        <w:rPr>
          <w:rFonts w:ascii="Arial" w:hAnsi="Arial"/>
          <w:sz w:val="18"/>
          <w:szCs w:val="18"/>
        </w:rPr>
        <w:t xml:space="preserve"> not listed in the table, including Gibberella and Fusarium ear rot. </w:t>
      </w:r>
      <w:r w:rsidR="000C5F37" w:rsidRPr="0013493E">
        <w:rPr>
          <w:rFonts w:ascii="Arial" w:hAnsi="Arial"/>
          <w:sz w:val="18"/>
          <w:szCs w:val="18"/>
        </w:rPr>
        <w:t>Applications of Proline 480 SC for use on ear rots requires a FIFRA Section 2(ee) and is only approved for use in Illinois, Indiana, Iowa, Louisiana, Maryland, Michigan, Mississippi, North Dakota, Ohio, Pennsylvania, and Virginia</w:t>
      </w:r>
      <w:r w:rsidR="000C5F37" w:rsidRPr="002F6629">
        <w:rPr>
          <w:rFonts w:ascii="Arial" w:hAnsi="Arial"/>
          <w:sz w:val="18"/>
          <w:szCs w:val="18"/>
        </w:rPr>
        <w:t>.</w:t>
      </w:r>
    </w:p>
    <w:p w14:paraId="5632C581" w14:textId="39B0F77D" w:rsidR="002115C4" w:rsidRPr="002F6629" w:rsidRDefault="000C5F37" w:rsidP="002115C4">
      <w:pPr>
        <w:snapToGrid w:val="0"/>
        <w:spacing w:after="5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2</w:t>
      </w:r>
      <w:r w:rsidR="002115C4" w:rsidRPr="002F6629">
        <w:rPr>
          <w:rFonts w:ascii="Arial" w:hAnsi="Arial"/>
          <w:sz w:val="18"/>
          <w:szCs w:val="18"/>
        </w:rPr>
        <w:t>Harvest restrictions are listed for field corn harvested for grain.  Restrictions may vary for other types of corn</w:t>
      </w:r>
      <w:r w:rsidR="00177CF5" w:rsidRPr="002F6629">
        <w:rPr>
          <w:rFonts w:ascii="Arial" w:hAnsi="Arial"/>
          <w:sz w:val="18"/>
          <w:szCs w:val="18"/>
        </w:rPr>
        <w:t xml:space="preserve"> (sweet, seed or popcorn, etc.),</w:t>
      </w:r>
      <w:r w:rsidR="002115C4" w:rsidRPr="002F6629">
        <w:rPr>
          <w:rFonts w:ascii="Arial" w:hAnsi="Arial"/>
          <w:sz w:val="18"/>
          <w:szCs w:val="18"/>
        </w:rPr>
        <w:t xml:space="preserve"> and corn for other uses such as forage</w:t>
      </w:r>
      <w:r w:rsidR="00C232A4" w:rsidRPr="002F6629">
        <w:rPr>
          <w:rFonts w:ascii="Arial" w:hAnsi="Arial"/>
          <w:sz w:val="18"/>
          <w:szCs w:val="18"/>
        </w:rPr>
        <w:t xml:space="preserve"> or fodder.</w:t>
      </w:r>
    </w:p>
    <w:p w14:paraId="60EBCEB5" w14:textId="26B41C79" w:rsidR="00556C18" w:rsidRPr="000C5F37" w:rsidRDefault="009B7899" w:rsidP="000C5F37">
      <w:pPr>
        <w:rPr>
          <w:rFonts w:ascii="Arial" w:hAnsi="Arial"/>
          <w:sz w:val="18"/>
          <w:szCs w:val="18"/>
        </w:rPr>
      </w:pPr>
      <w:r w:rsidRPr="002F6629">
        <w:rPr>
          <w:rFonts w:ascii="Arial" w:hAnsi="Arial"/>
          <w:sz w:val="18"/>
          <w:szCs w:val="18"/>
        </w:rPr>
        <w:t xml:space="preserve">Many products have specific use restrictions about the amount of active ingredient that can be applied within a period of time or the amount of sequential applications that can occur.  Please read and follow all specific use restrictions prior to fungicide use. </w:t>
      </w:r>
      <w:r w:rsidRPr="002F6629">
        <w:rPr>
          <w:rFonts w:ascii="Arial" w:hAnsi="Arial"/>
          <w:sz w:val="18"/>
          <w:szCs w:val="18"/>
          <w:vertAlign w:val="superscript"/>
        </w:rPr>
        <w:t xml:space="preserve"> </w:t>
      </w:r>
      <w:r w:rsidR="00556C18" w:rsidRPr="002F6629">
        <w:rPr>
          <w:rFonts w:ascii="Arial" w:hAnsi="Arial"/>
          <w:sz w:val="18"/>
          <w:szCs w:val="18"/>
        </w:rPr>
        <w:t xml:space="preserve">This information is provided only as a guide.  It is the responsibility of the pesticide applicator by law to read and follow all current label directions.  </w:t>
      </w:r>
      <w:r w:rsidR="00C232A4" w:rsidRPr="002F6629">
        <w:rPr>
          <w:rFonts w:ascii="Arial" w:hAnsi="Arial" w:cs="Arial"/>
          <w:iCs/>
          <w:sz w:val="18"/>
          <w:szCs w:val="18"/>
          <w:lang w:eastAsia="en-US"/>
        </w:rPr>
        <w:t>Reference to products in this publication is not intended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</w:t>
      </w:r>
      <w:r w:rsidR="00C232A4" w:rsidRPr="002F6629">
        <w:rPr>
          <w:rFonts w:ascii="Arial" w:hAnsi="Arial" w:cs="Arial"/>
          <w:iCs/>
          <w:sz w:val="18"/>
          <w:szCs w:val="18"/>
          <w:lang w:eastAsia="en-US"/>
        </w:rPr>
        <w:t xml:space="preserve">to be an endorsement to the exclusion of others that may be similar. Persons using such products assume responsibility for their use in accordance with current directions of the manufacturer. </w:t>
      </w:r>
      <w:r w:rsidR="00556C18" w:rsidRPr="002F6629">
        <w:rPr>
          <w:rFonts w:ascii="Arial" w:hAnsi="Arial" w:cs="Arial"/>
          <w:sz w:val="18"/>
          <w:szCs w:val="18"/>
        </w:rPr>
        <w:t>Members or participants in the</w:t>
      </w:r>
      <w:r w:rsidR="005C1B1A" w:rsidRPr="002F6629">
        <w:rPr>
          <w:rFonts w:ascii="Arial" w:hAnsi="Arial" w:cs="Arial"/>
          <w:sz w:val="18"/>
          <w:szCs w:val="18"/>
        </w:rPr>
        <w:t xml:space="preserve"> CDWG</w:t>
      </w:r>
      <w:r w:rsidR="00556C18" w:rsidRPr="002F6629">
        <w:rPr>
          <w:rFonts w:ascii="Arial" w:hAnsi="Arial" w:cs="Arial"/>
          <w:sz w:val="18"/>
          <w:szCs w:val="18"/>
        </w:rPr>
        <w:t xml:space="preserve"> assume no liability resulting from the use of these products. </w:t>
      </w:r>
    </w:p>
    <w:sectPr w:rsidR="00556C18" w:rsidRPr="000C5F37" w:rsidSect="00556C18">
      <w:footnotePr>
        <w:pos w:val="beneathText"/>
      </w:footnotePr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03291" w14:textId="77777777" w:rsidR="00BD39EB" w:rsidRDefault="00BD39EB">
      <w:r>
        <w:separator/>
      </w:r>
    </w:p>
  </w:endnote>
  <w:endnote w:type="continuationSeparator" w:id="0">
    <w:p w14:paraId="0CF731BC" w14:textId="77777777" w:rsidR="00BD39EB" w:rsidRDefault="00B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FA2D0" w14:textId="77777777" w:rsidR="00BD39EB" w:rsidRDefault="00BD39EB">
      <w:r>
        <w:separator/>
      </w:r>
    </w:p>
  </w:footnote>
  <w:footnote w:type="continuationSeparator" w:id="0">
    <w:p w14:paraId="2D38ABAA" w14:textId="77777777" w:rsidR="00BD39EB" w:rsidRDefault="00BD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74C96"/>
    <w:multiLevelType w:val="hybridMultilevel"/>
    <w:tmpl w:val="609A6A7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E5"/>
    <w:rsid w:val="00005503"/>
    <w:rsid w:val="000C5F37"/>
    <w:rsid w:val="000E5A6F"/>
    <w:rsid w:val="00103B59"/>
    <w:rsid w:val="0013493E"/>
    <w:rsid w:val="00177CF5"/>
    <w:rsid w:val="00187705"/>
    <w:rsid w:val="00197078"/>
    <w:rsid w:val="002115C4"/>
    <w:rsid w:val="00211C39"/>
    <w:rsid w:val="002158C4"/>
    <w:rsid w:val="002167E6"/>
    <w:rsid w:val="00236F66"/>
    <w:rsid w:val="00276585"/>
    <w:rsid w:val="002F6629"/>
    <w:rsid w:val="0033381C"/>
    <w:rsid w:val="00343AE9"/>
    <w:rsid w:val="00363120"/>
    <w:rsid w:val="00380E7F"/>
    <w:rsid w:val="003B7229"/>
    <w:rsid w:val="00400191"/>
    <w:rsid w:val="0043003B"/>
    <w:rsid w:val="004560BD"/>
    <w:rsid w:val="00492B76"/>
    <w:rsid w:val="004A486A"/>
    <w:rsid w:val="004C58EF"/>
    <w:rsid w:val="004F0C5C"/>
    <w:rsid w:val="00531488"/>
    <w:rsid w:val="00556C18"/>
    <w:rsid w:val="005C1B1A"/>
    <w:rsid w:val="00634F9E"/>
    <w:rsid w:val="0065672A"/>
    <w:rsid w:val="00656EE4"/>
    <w:rsid w:val="00694743"/>
    <w:rsid w:val="006B0E71"/>
    <w:rsid w:val="006E26A4"/>
    <w:rsid w:val="0071675C"/>
    <w:rsid w:val="007277A1"/>
    <w:rsid w:val="00742D2B"/>
    <w:rsid w:val="007447A7"/>
    <w:rsid w:val="00756AF4"/>
    <w:rsid w:val="007C0BA4"/>
    <w:rsid w:val="007D0EA5"/>
    <w:rsid w:val="00821577"/>
    <w:rsid w:val="008654F7"/>
    <w:rsid w:val="00875DAF"/>
    <w:rsid w:val="008A156C"/>
    <w:rsid w:val="008A4FF5"/>
    <w:rsid w:val="009110C4"/>
    <w:rsid w:val="00994AB1"/>
    <w:rsid w:val="009A0AE7"/>
    <w:rsid w:val="009B7899"/>
    <w:rsid w:val="009C6208"/>
    <w:rsid w:val="009E5DE3"/>
    <w:rsid w:val="00A620A1"/>
    <w:rsid w:val="00A86A0F"/>
    <w:rsid w:val="00A86CE5"/>
    <w:rsid w:val="00AC0306"/>
    <w:rsid w:val="00B55F3F"/>
    <w:rsid w:val="00B729A3"/>
    <w:rsid w:val="00B744D2"/>
    <w:rsid w:val="00BC23CB"/>
    <w:rsid w:val="00BD39EB"/>
    <w:rsid w:val="00C232A4"/>
    <w:rsid w:val="00CA7DFC"/>
    <w:rsid w:val="00CC276D"/>
    <w:rsid w:val="00DC5690"/>
    <w:rsid w:val="00E34CC1"/>
    <w:rsid w:val="00F13236"/>
    <w:rsid w:val="00F42DC1"/>
    <w:rsid w:val="00F53E55"/>
    <w:rsid w:val="00F62743"/>
    <w:rsid w:val="00F63DC6"/>
    <w:rsid w:val="00F758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A97D7"/>
  <w15:docId w15:val="{26F80C7B-D578-4763-9DD3-65BC122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AB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94AB1"/>
  </w:style>
  <w:style w:type="character" w:customStyle="1" w:styleId="WW-Absatz-Standardschriftart">
    <w:name w:val="WW-Absatz-Standardschriftart"/>
    <w:rsid w:val="00994AB1"/>
  </w:style>
  <w:style w:type="character" w:customStyle="1" w:styleId="WW-Absatz-Standardschriftart1">
    <w:name w:val="WW-Absatz-Standardschriftart1"/>
    <w:rsid w:val="00994AB1"/>
  </w:style>
  <w:style w:type="paragraph" w:customStyle="1" w:styleId="Heading">
    <w:name w:val="Heading"/>
    <w:basedOn w:val="Normal"/>
    <w:next w:val="BodyText"/>
    <w:rsid w:val="00994AB1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styleId="BodyText">
    <w:name w:val="Body Text"/>
    <w:basedOn w:val="Normal"/>
    <w:rsid w:val="00994AB1"/>
    <w:pPr>
      <w:spacing w:after="120"/>
    </w:pPr>
  </w:style>
  <w:style w:type="paragraph" w:styleId="List">
    <w:name w:val="List"/>
    <w:basedOn w:val="BodyText"/>
    <w:rsid w:val="00994AB1"/>
    <w:rPr>
      <w:rFonts w:cs="Lucidasans"/>
    </w:rPr>
  </w:style>
  <w:style w:type="paragraph" w:styleId="Caption">
    <w:name w:val="caption"/>
    <w:basedOn w:val="Normal"/>
    <w:qFormat/>
    <w:rsid w:val="00994AB1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rsid w:val="00994AB1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994AB1"/>
    <w:pPr>
      <w:suppressLineNumbers/>
    </w:pPr>
  </w:style>
  <w:style w:type="paragraph" w:customStyle="1" w:styleId="TableHeading">
    <w:name w:val="Table Heading"/>
    <w:basedOn w:val="TableContents"/>
    <w:rsid w:val="00994AB1"/>
    <w:pPr>
      <w:jc w:val="center"/>
    </w:pPr>
    <w:rPr>
      <w:b/>
      <w:bCs/>
      <w:i/>
      <w:iCs/>
    </w:rPr>
  </w:style>
  <w:style w:type="paragraph" w:styleId="Header">
    <w:name w:val="header"/>
    <w:basedOn w:val="Normal"/>
    <w:rsid w:val="007D42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3C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300F1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115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76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76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NCR-184</vt:lpstr>
    </vt:vector>
  </TitlesOfParts>
  <Company>Kansas State University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NCR-184</dc:title>
  <dc:creator>Default</dc:creator>
  <cp:lastModifiedBy>Aimee Thapa</cp:lastModifiedBy>
  <cp:revision>2</cp:revision>
  <cp:lastPrinted>2013-04-17T17:30:00Z</cp:lastPrinted>
  <dcterms:created xsi:type="dcterms:W3CDTF">2015-04-20T15:42:00Z</dcterms:created>
  <dcterms:modified xsi:type="dcterms:W3CDTF">2015-04-20T15:42:00Z</dcterms:modified>
</cp:coreProperties>
</file>