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CD" w:rsidRPr="006C5B5E" w:rsidRDefault="003F0986" w:rsidP="00711FC3">
      <w:pPr>
        <w:spacing w:after="240"/>
        <w:outlineLvl w:val="1"/>
        <w:rPr>
          <w:rFonts w:ascii="Arial" w:eastAsia="Times New Roman" w:hAnsi="Arial" w:cs="Arial"/>
          <w:b/>
          <w:bCs/>
          <w:color w:val="FF0000"/>
          <w:sz w:val="48"/>
          <w:szCs w:val="48"/>
        </w:rPr>
      </w:pPr>
      <w:r w:rsidRPr="006C5B5E">
        <w:rPr>
          <w:rFonts w:ascii="Arial" w:eastAsia="Times New Roman" w:hAnsi="Arial" w:cs="Arial"/>
          <w:b/>
          <w:bCs/>
          <w:color w:val="FF0000"/>
          <w:sz w:val="48"/>
          <w:szCs w:val="48"/>
        </w:rPr>
        <w:t>K</w:t>
      </w:r>
      <w:r w:rsidR="00837DCD" w:rsidRPr="006C5B5E">
        <w:rPr>
          <w:rFonts w:ascii="Arial" w:eastAsia="Times New Roman" w:hAnsi="Arial" w:cs="Arial"/>
          <w:b/>
          <w:bCs/>
          <w:color w:val="FF0000"/>
          <w:sz w:val="48"/>
          <w:szCs w:val="48"/>
        </w:rPr>
        <w:t xml:space="preserve">irkpatrick's </w:t>
      </w:r>
      <w:r w:rsidRPr="006C5B5E">
        <w:rPr>
          <w:rFonts w:ascii="Arial" w:eastAsia="Times New Roman" w:hAnsi="Arial" w:cs="Arial"/>
          <w:b/>
          <w:bCs/>
          <w:color w:val="FF0000"/>
          <w:sz w:val="48"/>
          <w:szCs w:val="48"/>
        </w:rPr>
        <w:t>F</w:t>
      </w:r>
      <w:r w:rsidR="00837DCD" w:rsidRPr="006C5B5E">
        <w:rPr>
          <w:rFonts w:ascii="Arial" w:eastAsia="Times New Roman" w:hAnsi="Arial" w:cs="Arial"/>
          <w:b/>
          <w:bCs/>
          <w:color w:val="FF0000"/>
          <w:sz w:val="48"/>
          <w:szCs w:val="48"/>
        </w:rPr>
        <w:t xml:space="preserve">our </w:t>
      </w:r>
      <w:r w:rsidRPr="006C5B5E">
        <w:rPr>
          <w:rFonts w:ascii="Arial" w:eastAsia="Times New Roman" w:hAnsi="Arial" w:cs="Arial"/>
          <w:b/>
          <w:bCs/>
          <w:color w:val="FF0000"/>
          <w:sz w:val="48"/>
          <w:szCs w:val="48"/>
        </w:rPr>
        <w:t>L</w:t>
      </w:r>
      <w:r w:rsidR="00837DCD" w:rsidRPr="006C5B5E">
        <w:rPr>
          <w:rFonts w:ascii="Arial" w:eastAsia="Times New Roman" w:hAnsi="Arial" w:cs="Arial"/>
          <w:b/>
          <w:bCs/>
          <w:color w:val="FF0000"/>
          <w:sz w:val="48"/>
          <w:szCs w:val="48"/>
        </w:rPr>
        <w:t xml:space="preserve">evels of </w:t>
      </w:r>
      <w:r w:rsidRPr="006C5B5E">
        <w:rPr>
          <w:rFonts w:ascii="Arial" w:eastAsia="Times New Roman" w:hAnsi="Arial" w:cs="Arial"/>
          <w:b/>
          <w:bCs/>
          <w:color w:val="FF0000"/>
          <w:sz w:val="48"/>
          <w:szCs w:val="48"/>
        </w:rPr>
        <w:t>T</w:t>
      </w:r>
      <w:r w:rsidR="00837DCD" w:rsidRPr="006C5B5E">
        <w:rPr>
          <w:rFonts w:ascii="Arial" w:eastAsia="Times New Roman" w:hAnsi="Arial" w:cs="Arial"/>
          <w:b/>
          <w:bCs/>
          <w:color w:val="FF0000"/>
          <w:sz w:val="48"/>
          <w:szCs w:val="48"/>
        </w:rPr>
        <w:t xml:space="preserve">raining </w:t>
      </w:r>
      <w:r w:rsidRPr="006C5B5E">
        <w:rPr>
          <w:rFonts w:ascii="Arial" w:eastAsia="Times New Roman" w:hAnsi="Arial" w:cs="Arial"/>
          <w:b/>
          <w:bCs/>
          <w:color w:val="FF0000"/>
          <w:sz w:val="48"/>
          <w:szCs w:val="48"/>
        </w:rPr>
        <w:t>E</w:t>
      </w:r>
      <w:r w:rsidR="00837DCD" w:rsidRPr="006C5B5E">
        <w:rPr>
          <w:rFonts w:ascii="Arial" w:eastAsia="Times New Roman" w:hAnsi="Arial" w:cs="Arial"/>
          <w:b/>
          <w:bCs/>
          <w:color w:val="FF0000"/>
          <w:sz w:val="48"/>
          <w:szCs w:val="48"/>
        </w:rPr>
        <w:t xml:space="preserve">valuation in </w:t>
      </w:r>
      <w:r w:rsidRPr="006C5B5E">
        <w:rPr>
          <w:rFonts w:ascii="Arial" w:eastAsia="Times New Roman" w:hAnsi="Arial" w:cs="Arial"/>
          <w:b/>
          <w:bCs/>
          <w:color w:val="FF0000"/>
          <w:sz w:val="48"/>
          <w:szCs w:val="48"/>
        </w:rPr>
        <w:t>D</w:t>
      </w:r>
      <w:r w:rsidR="00837DCD" w:rsidRPr="006C5B5E">
        <w:rPr>
          <w:rFonts w:ascii="Arial" w:eastAsia="Times New Roman" w:hAnsi="Arial" w:cs="Arial"/>
          <w:b/>
          <w:bCs/>
          <w:color w:val="FF0000"/>
          <w:sz w:val="48"/>
          <w:szCs w:val="48"/>
        </w:rPr>
        <w:t>etail</w:t>
      </w:r>
    </w:p>
    <w:p w:rsidR="00837DCD" w:rsidRPr="006C5B5E" w:rsidRDefault="00837DCD" w:rsidP="00837DCD">
      <w:pPr>
        <w:spacing w:before="180" w:after="180"/>
        <w:rPr>
          <w:rFonts w:ascii="Arial" w:eastAsia="Times New Roman" w:hAnsi="Arial" w:cs="Arial"/>
          <w:sz w:val="24"/>
          <w:szCs w:val="24"/>
        </w:rPr>
      </w:pPr>
      <w:r w:rsidRPr="006C5B5E">
        <w:rPr>
          <w:rFonts w:ascii="Arial" w:eastAsia="Times New Roman" w:hAnsi="Arial" w:cs="Arial"/>
          <w:sz w:val="24"/>
          <w:szCs w:val="24"/>
        </w:rPr>
        <w:t>This grid illustrates the Kirkpatrick's structure detail, and particularly the modern-day interpretation of the Kirkpatrick learning evaluation model, usage, implications, and examples of tools and methods. This diagram is the same format as the one above but with more detail and explanation: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705"/>
        <w:gridCol w:w="3690"/>
        <w:gridCol w:w="4410"/>
        <w:gridCol w:w="4765"/>
      </w:tblGrid>
      <w:tr w:rsidR="006C5B5E" w:rsidRPr="006C5B5E" w:rsidTr="006C5B5E">
        <w:trPr>
          <w:tblCellSpacing w:w="0" w:type="dxa"/>
        </w:trPr>
        <w:tc>
          <w:tcPr>
            <w:tcW w:w="1705" w:type="dxa"/>
            <w:hideMark/>
          </w:tcPr>
          <w:p w:rsidR="00837DCD" w:rsidRPr="006C5B5E" w:rsidRDefault="00837DCD" w:rsidP="0059186D">
            <w:pPr>
              <w:rPr>
                <w:rFonts w:ascii="Arial" w:eastAsia="Times New Roman" w:hAnsi="Arial" w:cs="Arial"/>
              </w:rPr>
            </w:pPr>
            <w:r w:rsidRPr="006C5B5E">
              <w:rPr>
                <w:rFonts w:ascii="Arial" w:eastAsia="Times New Roman" w:hAnsi="Arial" w:cs="Arial"/>
                <w:b/>
                <w:bCs/>
                <w:color w:val="FF0000"/>
              </w:rPr>
              <w:t xml:space="preserve">evaluation level and type </w:t>
            </w:r>
          </w:p>
        </w:tc>
        <w:tc>
          <w:tcPr>
            <w:tcW w:w="3690" w:type="dxa"/>
            <w:hideMark/>
          </w:tcPr>
          <w:p w:rsidR="00837DCD" w:rsidRPr="006C5B5E" w:rsidRDefault="00837DCD" w:rsidP="0059186D">
            <w:pPr>
              <w:rPr>
                <w:rFonts w:ascii="Arial" w:eastAsia="Times New Roman" w:hAnsi="Arial" w:cs="Arial"/>
              </w:rPr>
            </w:pPr>
            <w:r w:rsidRPr="006C5B5E">
              <w:rPr>
                <w:rFonts w:ascii="Arial" w:eastAsia="Times New Roman" w:hAnsi="Arial" w:cs="Arial"/>
                <w:b/>
                <w:bCs/>
                <w:color w:val="FF0000"/>
              </w:rPr>
              <w:t>evaluation description and characteristics</w:t>
            </w:r>
          </w:p>
        </w:tc>
        <w:tc>
          <w:tcPr>
            <w:tcW w:w="4410" w:type="dxa"/>
            <w:hideMark/>
          </w:tcPr>
          <w:p w:rsidR="00837DCD" w:rsidRPr="006C5B5E" w:rsidRDefault="00837DCD" w:rsidP="0059186D">
            <w:pPr>
              <w:rPr>
                <w:rFonts w:ascii="Arial" w:eastAsia="Times New Roman" w:hAnsi="Arial" w:cs="Arial"/>
              </w:rPr>
            </w:pPr>
            <w:r w:rsidRPr="006C5B5E">
              <w:rPr>
                <w:rFonts w:ascii="Arial" w:eastAsia="Times New Roman" w:hAnsi="Arial" w:cs="Arial"/>
                <w:b/>
                <w:bCs/>
                <w:color w:val="FF0000"/>
              </w:rPr>
              <w:t>examples of evaluation tools and methods</w:t>
            </w:r>
          </w:p>
        </w:tc>
        <w:tc>
          <w:tcPr>
            <w:tcW w:w="4765" w:type="dxa"/>
            <w:hideMark/>
          </w:tcPr>
          <w:p w:rsidR="00837DCD" w:rsidRPr="006C5B5E" w:rsidRDefault="00837DCD" w:rsidP="0059186D">
            <w:pPr>
              <w:rPr>
                <w:rFonts w:ascii="Arial" w:eastAsia="Times New Roman" w:hAnsi="Arial" w:cs="Arial"/>
              </w:rPr>
            </w:pPr>
            <w:r w:rsidRPr="006C5B5E">
              <w:rPr>
                <w:rFonts w:ascii="Arial" w:eastAsia="Times New Roman" w:hAnsi="Arial" w:cs="Arial"/>
                <w:b/>
                <w:bCs/>
                <w:color w:val="FF0000"/>
              </w:rPr>
              <w:t>relevance and practicability</w:t>
            </w:r>
          </w:p>
        </w:tc>
      </w:tr>
      <w:tr w:rsidR="006C5B5E" w:rsidRPr="006C5B5E" w:rsidTr="006C5B5E">
        <w:trPr>
          <w:tblCellSpacing w:w="0" w:type="dxa"/>
        </w:trPr>
        <w:tc>
          <w:tcPr>
            <w:tcW w:w="170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1. Reaction</w:t>
            </w:r>
          </w:p>
        </w:tc>
        <w:tc>
          <w:tcPr>
            <w:tcW w:w="369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 xml:space="preserve">Reaction evaluation </w:t>
            </w:r>
            <w:r w:rsidRPr="006C5B5E">
              <w:rPr>
                <w:rFonts w:ascii="Arial" w:eastAsia="Times New Roman" w:hAnsi="Arial" w:cs="Arial"/>
              </w:rPr>
              <w:t xml:space="preserve">is </w:t>
            </w:r>
            <w:r w:rsidRPr="006C5B5E">
              <w:rPr>
                <w:rFonts w:ascii="Arial" w:eastAsia="Times New Roman" w:hAnsi="Arial" w:cs="Arial"/>
                <w:b/>
                <w:bCs/>
              </w:rPr>
              <w:t>how the delegates felt</w:t>
            </w:r>
            <w:r w:rsidRPr="006C5B5E">
              <w:rPr>
                <w:rFonts w:ascii="Arial" w:eastAsia="Times New Roman" w:hAnsi="Arial" w:cs="Arial"/>
              </w:rPr>
              <w:t xml:space="preserve">, and their </w:t>
            </w:r>
            <w:r w:rsidRPr="006C5B5E">
              <w:rPr>
                <w:rFonts w:ascii="Arial" w:eastAsia="Times New Roman" w:hAnsi="Arial" w:cs="Arial"/>
                <w:b/>
                <w:bCs/>
              </w:rPr>
              <w:t>personal reactions to the training or learning experience</w:t>
            </w:r>
            <w:r w:rsidRPr="006C5B5E">
              <w:rPr>
                <w:rFonts w:ascii="Arial" w:eastAsia="Times New Roman" w:hAnsi="Arial" w:cs="Arial"/>
              </w:rPr>
              <w:t>, for example: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 xml:space="preserve">Did the trainees like and enjoy the training? </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 xml:space="preserve">Did they consider the training relevant? </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Was it a good use of their time?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Did they like the venue, the style, timing, domestics, etc</w:t>
            </w:r>
            <w:r w:rsidR="008431CD" w:rsidRPr="006C5B5E">
              <w:rPr>
                <w:rFonts w:ascii="Arial" w:eastAsia="Times New Roman" w:hAnsi="Arial" w:cs="Arial"/>
              </w:rPr>
              <w:t>.</w:t>
            </w:r>
            <w:r w:rsidRPr="006C5B5E">
              <w:rPr>
                <w:rFonts w:ascii="Arial" w:eastAsia="Times New Roman" w:hAnsi="Arial" w:cs="Arial"/>
              </w:rPr>
              <w: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Level of participation.</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Ease and comfort of experience.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Level of effort required to make the most of the learning.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Perceived practicability and potential for applying the learning.</w:t>
            </w:r>
          </w:p>
        </w:tc>
        <w:tc>
          <w:tcPr>
            <w:tcW w:w="441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Typically 'happy sheets'.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Feedback forms based on subjective personal reaction to the training experience.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Verbal reaction which can be noted and analy</w:t>
            </w:r>
            <w:r w:rsidR="008431CD" w:rsidRPr="006C5B5E">
              <w:rPr>
                <w:rFonts w:ascii="Arial" w:eastAsia="Times New Roman" w:hAnsi="Arial" w:cs="Arial"/>
              </w:rPr>
              <w:t>z</w:t>
            </w:r>
            <w:r w:rsidRPr="006C5B5E">
              <w:rPr>
                <w:rFonts w:ascii="Arial" w:eastAsia="Times New Roman" w:hAnsi="Arial" w:cs="Arial"/>
              </w:rPr>
              <w:t>ed.</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Post-training surveys or questionnaires.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Online evaluation or grading by delegates.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Subsequent verbal or written reports given by delegates to managers back at their jobs.</w:t>
            </w:r>
          </w:p>
        </w:tc>
        <w:tc>
          <w:tcPr>
            <w:tcW w:w="476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Can be done immediately the training ends.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Very easy to obtain reaction feedback</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Feedback is not expensive to gather or to analy</w:t>
            </w:r>
            <w:r w:rsidR="008431CD" w:rsidRPr="006C5B5E">
              <w:rPr>
                <w:rFonts w:ascii="Arial" w:eastAsia="Times New Roman" w:hAnsi="Arial" w:cs="Arial"/>
              </w:rPr>
              <w:t>z</w:t>
            </w:r>
            <w:r w:rsidRPr="006C5B5E">
              <w:rPr>
                <w:rFonts w:ascii="Arial" w:eastAsia="Times New Roman" w:hAnsi="Arial" w:cs="Arial"/>
              </w:rPr>
              <w:t>e for groups.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Important to know that people were not upset or disappointed.</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Important that people give a positive impression when relating their experience to others who might be deciding whether to experience same.</w:t>
            </w:r>
          </w:p>
        </w:tc>
        <w:bookmarkStart w:id="0" w:name="_GoBack"/>
        <w:bookmarkEnd w:id="0"/>
      </w:tr>
      <w:tr w:rsidR="006C5B5E" w:rsidRPr="006C5B5E" w:rsidTr="006C5B5E">
        <w:trPr>
          <w:tblCellSpacing w:w="0" w:type="dxa"/>
        </w:trPr>
        <w:tc>
          <w:tcPr>
            <w:tcW w:w="170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2. Learning</w:t>
            </w:r>
          </w:p>
        </w:tc>
        <w:tc>
          <w:tcPr>
            <w:tcW w:w="369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Learning evaluation</w:t>
            </w:r>
            <w:r w:rsidRPr="006C5B5E">
              <w:rPr>
                <w:rFonts w:ascii="Arial" w:eastAsia="Times New Roman" w:hAnsi="Arial" w:cs="Arial"/>
              </w:rPr>
              <w:t xml:space="preserve"> is the measurement of the </w:t>
            </w:r>
            <w:r w:rsidRPr="006C5B5E">
              <w:rPr>
                <w:rFonts w:ascii="Arial" w:eastAsia="Times New Roman" w:hAnsi="Arial" w:cs="Arial"/>
                <w:b/>
                <w:bCs/>
              </w:rPr>
              <w:t>increase in knowledge or intellectual capability</w:t>
            </w:r>
            <w:r w:rsidRPr="006C5B5E">
              <w:rPr>
                <w:rFonts w:ascii="Arial" w:eastAsia="Times New Roman" w:hAnsi="Arial" w:cs="Arial"/>
              </w:rPr>
              <w:t xml:space="preserve"> from before to after the learning experience: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Did the trainees learn what</w:t>
            </w:r>
            <w:r w:rsidR="008431CD" w:rsidRPr="006C5B5E">
              <w:rPr>
                <w:rFonts w:ascii="Arial" w:eastAsia="Times New Roman" w:hAnsi="Arial" w:cs="Arial"/>
              </w:rPr>
              <w:t xml:space="preserve"> was</w:t>
            </w:r>
            <w:r w:rsidRPr="006C5B5E">
              <w:rPr>
                <w:rFonts w:ascii="Arial" w:eastAsia="Times New Roman" w:hAnsi="Arial" w:cs="Arial"/>
              </w:rPr>
              <w:t xml:space="preserve"> intended to be taught?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Did the trainee experience what was intended for them to experience?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What is the extent of advancement or change in the trainees after the training, in the direction or area that was intended?</w:t>
            </w:r>
          </w:p>
        </w:tc>
        <w:tc>
          <w:tcPr>
            <w:tcW w:w="441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Typically assessments or tests before and after the training.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Interview or observation can be used before and after although this is time-consuming and can be inconsistent.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Methods of assessment need to be closely related to the aims of the learning.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Measurement and analysis is possible and easy on a group scale.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Reliable, clear scoring and measurements need to be established, so as to limit the risk of inconsistent assessment.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Hard-copy, electronic, online or interview style assessments are all possible.</w:t>
            </w:r>
          </w:p>
        </w:tc>
        <w:tc>
          <w:tcPr>
            <w:tcW w:w="476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Relatively simple to set up, but more investment and thought required than reaction evaluation.</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 xml:space="preserve">Highly relevant and clear-cut for certain training such as quantifiable or technical skills. </w:t>
            </w:r>
          </w:p>
          <w:p w:rsidR="0059186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 xml:space="preserve">Less easy for more complex learning such as attitudinal development, </w:t>
            </w:r>
            <w:proofErr w:type="gramStart"/>
            <w:r w:rsidRPr="006C5B5E">
              <w:rPr>
                <w:rFonts w:ascii="Arial" w:eastAsia="Times New Roman" w:hAnsi="Arial" w:cs="Arial"/>
              </w:rPr>
              <w:t>which is difficult to assess.</w:t>
            </w:r>
            <w:proofErr w:type="gramEnd"/>
          </w:p>
          <w:p w:rsidR="00711FC3" w:rsidRPr="006C5B5E" w:rsidRDefault="00711FC3" w:rsidP="00711FC3">
            <w:pPr>
              <w:rPr>
                <w:rFonts w:ascii="Arial" w:eastAsia="Times New Roman" w:hAnsi="Arial" w:cs="Arial"/>
              </w:rPr>
            </w:pPr>
          </w:p>
          <w:p w:rsidR="00837DCD" w:rsidRPr="006C5B5E" w:rsidRDefault="00837DCD" w:rsidP="00711FC3">
            <w:pPr>
              <w:rPr>
                <w:rFonts w:ascii="Arial" w:eastAsia="Times New Roman" w:hAnsi="Arial" w:cs="Arial"/>
              </w:rPr>
            </w:pPr>
            <w:r w:rsidRPr="006C5B5E">
              <w:rPr>
                <w:rFonts w:ascii="Arial" w:eastAsia="Times New Roman" w:hAnsi="Arial" w:cs="Arial"/>
              </w:rPr>
              <w:t>Cost escalates if systems are poorly designed, which increases work required to measure and analy</w:t>
            </w:r>
            <w:r w:rsidR="003F0986" w:rsidRPr="006C5B5E">
              <w:rPr>
                <w:rFonts w:ascii="Arial" w:eastAsia="Times New Roman" w:hAnsi="Arial" w:cs="Arial"/>
              </w:rPr>
              <w:t>z</w:t>
            </w:r>
            <w:r w:rsidRPr="006C5B5E">
              <w:rPr>
                <w:rFonts w:ascii="Arial" w:eastAsia="Times New Roman" w:hAnsi="Arial" w:cs="Arial"/>
              </w:rPr>
              <w:t>e.</w:t>
            </w:r>
          </w:p>
        </w:tc>
      </w:tr>
      <w:tr w:rsidR="006C5B5E" w:rsidRPr="006C5B5E" w:rsidTr="006C5B5E">
        <w:trPr>
          <w:tblCellSpacing w:w="0" w:type="dxa"/>
        </w:trPr>
        <w:tc>
          <w:tcPr>
            <w:tcW w:w="170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lastRenderedPageBreak/>
              <w:t>3. Behavior</w:t>
            </w:r>
          </w:p>
        </w:tc>
        <w:tc>
          <w:tcPr>
            <w:tcW w:w="369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Behavior evaluation</w:t>
            </w:r>
            <w:r w:rsidRPr="006C5B5E">
              <w:rPr>
                <w:rFonts w:ascii="Arial" w:eastAsia="Times New Roman" w:hAnsi="Arial" w:cs="Arial"/>
              </w:rPr>
              <w:t xml:space="preserve"> is the extent to which the trainees </w:t>
            </w:r>
            <w:r w:rsidRPr="006C5B5E">
              <w:rPr>
                <w:rFonts w:ascii="Arial" w:eastAsia="Times New Roman" w:hAnsi="Arial" w:cs="Arial"/>
                <w:b/>
                <w:bCs/>
              </w:rPr>
              <w:t>applied the learning</w:t>
            </w:r>
            <w:r w:rsidRPr="006C5B5E">
              <w:rPr>
                <w:rFonts w:ascii="Arial" w:eastAsia="Times New Roman" w:hAnsi="Arial" w:cs="Arial"/>
              </w:rPr>
              <w:t xml:space="preserve"> and </w:t>
            </w:r>
            <w:r w:rsidRPr="006C5B5E">
              <w:rPr>
                <w:rFonts w:ascii="Arial" w:eastAsia="Times New Roman" w:hAnsi="Arial" w:cs="Arial"/>
                <w:b/>
                <w:bCs/>
              </w:rPr>
              <w:t>changed their behavior</w:t>
            </w:r>
            <w:r w:rsidRPr="006C5B5E">
              <w:rPr>
                <w:rFonts w:ascii="Arial" w:eastAsia="Times New Roman" w:hAnsi="Arial" w:cs="Arial"/>
              </w:rPr>
              <w:t>, and this can be immediately and several months after the training, depending on the situation:</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Did the trainees put their learning into effect when back on the job?</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Were the relevant skills and knowledge used</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Was there noticeable and measurable change in the activity and performance of the trainees when back in their roles?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Was the change in behavior and new level of knowledge sustained?</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Would the trainee be able to transfer their learning to another person?</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Is the trainee aware of their change in behavior, knowledge, skill level?</w:t>
            </w:r>
          </w:p>
          <w:p w:rsidR="00837DCD" w:rsidRPr="006C5B5E" w:rsidRDefault="00837DCD" w:rsidP="0059186D">
            <w:pPr>
              <w:spacing w:before="180" w:after="180"/>
              <w:rPr>
                <w:rFonts w:ascii="Arial" w:eastAsia="Times New Roman" w:hAnsi="Arial" w:cs="Arial"/>
              </w:rPr>
            </w:pPr>
          </w:p>
        </w:tc>
        <w:tc>
          <w:tcPr>
            <w:tcW w:w="441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Observation and interview over time are required to assess change, relevance of change, and sustainability of change.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Arbitrary snapshot assessments are not reliable because people change in different ways at different times.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Assessments need to be subtle and ongoing, and then transferred to a suitable analysis tool.</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Assessments need to be designed to reduce subjective judgment of the observer or interviewer, which is a variable factor that can affect reliability and consistency of measurements.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The opinion of the trainee, which is a relevant indicator, is also subjective and unreliable, and so needs to be measured in a consistent defined way.</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360-degree feedback is useful method and need not be used before training, because respondents can make a judgment as to change after training, and this can be analy</w:t>
            </w:r>
            <w:r w:rsidR="003F0986" w:rsidRPr="006C5B5E">
              <w:rPr>
                <w:rFonts w:ascii="Arial" w:eastAsia="Times New Roman" w:hAnsi="Arial" w:cs="Arial"/>
              </w:rPr>
              <w:t>z</w:t>
            </w:r>
            <w:r w:rsidRPr="006C5B5E">
              <w:rPr>
                <w:rFonts w:ascii="Arial" w:eastAsia="Times New Roman" w:hAnsi="Arial" w:cs="Arial"/>
              </w:rPr>
              <w:t>ed for groups of respondents and trainees.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Assessments can be designed around relevant performance scenarios, and specific key performance indicators or criteria.</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Online and electronic assessments are more difficult to incorporate - assessments tend to be more successful when integrated within existing management and coaching protocols.</w:t>
            </w:r>
          </w:p>
          <w:p w:rsidR="0059186D" w:rsidRPr="006C5B5E" w:rsidRDefault="00837DCD" w:rsidP="0059186D">
            <w:pPr>
              <w:spacing w:before="180" w:after="180"/>
              <w:rPr>
                <w:rFonts w:ascii="Arial" w:eastAsia="Times New Roman" w:hAnsi="Arial" w:cs="Arial"/>
              </w:rPr>
            </w:pPr>
            <w:r w:rsidRPr="006C5B5E">
              <w:rPr>
                <w:rFonts w:ascii="Arial" w:eastAsia="Times New Roman" w:hAnsi="Arial" w:cs="Arial"/>
              </w:rPr>
              <w:t>Self-assessment can be useful, using carefully designed criteria and measurements.</w:t>
            </w:r>
          </w:p>
        </w:tc>
        <w:tc>
          <w:tcPr>
            <w:tcW w:w="476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lastRenderedPageBreak/>
              <w:t>Measurement of behavior change is less easy to quantify and interpret than reaction and learning evaluation.</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Simple quick response systems unlikely to be adequate.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Cooperation and skill of observers, typically line-managers, are important factors, and difficult to control.</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Management and analysis of ongoing subtle assessments are difficult, and virtually impossible without a well-designed system from the beginning.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Evaluation of implementation and application is an extremely important assessment - there is little point in a good reaction and good increase in capability if nothing changes back in the job, therefore evaluation in this area is vital, albeit challenging.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 xml:space="preserve">Behavior change evaluation is possible given good support and involvement from line managers or trainees, so it is helpful to involve them from the start, and to identify benefits for them, which links to the level 4 </w:t>
            </w:r>
            <w:proofErr w:type="gramStart"/>
            <w:r w:rsidRPr="006C5B5E">
              <w:rPr>
                <w:rFonts w:ascii="Arial" w:eastAsia="Times New Roman" w:hAnsi="Arial" w:cs="Arial"/>
              </w:rPr>
              <w:t>evaluation</w:t>
            </w:r>
            <w:proofErr w:type="gramEnd"/>
            <w:r w:rsidR="003F0986" w:rsidRPr="006C5B5E">
              <w:rPr>
                <w:rFonts w:ascii="Arial" w:eastAsia="Times New Roman" w:hAnsi="Arial" w:cs="Arial"/>
              </w:rPr>
              <w:t xml:space="preserve"> </w:t>
            </w:r>
            <w:r w:rsidRPr="006C5B5E">
              <w:rPr>
                <w:rFonts w:ascii="Arial" w:eastAsia="Times New Roman" w:hAnsi="Arial" w:cs="Arial"/>
              </w:rPr>
              <w:t>below.</w:t>
            </w:r>
          </w:p>
        </w:tc>
      </w:tr>
      <w:tr w:rsidR="006C5B5E" w:rsidRPr="006C5B5E" w:rsidTr="006C5B5E">
        <w:trPr>
          <w:tblCellSpacing w:w="0" w:type="dxa"/>
        </w:trPr>
        <w:tc>
          <w:tcPr>
            <w:tcW w:w="1705"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lastRenderedPageBreak/>
              <w:t xml:space="preserve">4. Results </w:t>
            </w:r>
          </w:p>
        </w:tc>
        <w:tc>
          <w:tcPr>
            <w:tcW w:w="369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b/>
                <w:bCs/>
              </w:rPr>
              <w:t>Results evaluation</w:t>
            </w:r>
            <w:r w:rsidRPr="006C5B5E">
              <w:rPr>
                <w:rFonts w:ascii="Arial" w:eastAsia="Times New Roman" w:hAnsi="Arial" w:cs="Arial"/>
              </w:rPr>
              <w:t xml:space="preserve"> is the </w:t>
            </w:r>
            <w:r w:rsidRPr="006C5B5E">
              <w:rPr>
                <w:rFonts w:ascii="Arial" w:eastAsia="Times New Roman" w:hAnsi="Arial" w:cs="Arial"/>
                <w:b/>
                <w:bCs/>
              </w:rPr>
              <w:t>effect on the business or environment</w:t>
            </w:r>
            <w:r w:rsidRPr="006C5B5E">
              <w:rPr>
                <w:rFonts w:ascii="Arial" w:eastAsia="Times New Roman" w:hAnsi="Arial" w:cs="Arial"/>
              </w:rPr>
              <w:t xml:space="preserve"> resulting from the improved performance of the trainee - it is the acid test.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Measures would typically be business or organi</w:t>
            </w:r>
            <w:r w:rsidR="003F0986" w:rsidRPr="006C5B5E">
              <w:rPr>
                <w:rFonts w:ascii="Arial" w:eastAsia="Times New Roman" w:hAnsi="Arial" w:cs="Arial"/>
              </w:rPr>
              <w:t>z</w:t>
            </w:r>
            <w:r w:rsidRPr="006C5B5E">
              <w:rPr>
                <w:rFonts w:ascii="Arial" w:eastAsia="Times New Roman" w:hAnsi="Arial" w:cs="Arial"/>
              </w:rPr>
              <w:t>ational key performance indicators, such as:</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Volumes, values, percentages, timescales, return on investment, and other quantifiable aspects of organi</w:t>
            </w:r>
            <w:r w:rsidR="003F0986" w:rsidRPr="006C5B5E">
              <w:rPr>
                <w:rFonts w:ascii="Arial" w:eastAsia="Times New Roman" w:hAnsi="Arial" w:cs="Arial"/>
              </w:rPr>
              <w:t>z</w:t>
            </w:r>
            <w:r w:rsidRPr="006C5B5E">
              <w:rPr>
                <w:rFonts w:ascii="Arial" w:eastAsia="Times New Roman" w:hAnsi="Arial" w:cs="Arial"/>
              </w:rPr>
              <w:t>ational performance, for instance; numbers of complaints, staff turnover, attrition, failures, wastage, non-compliance, quality ratings, achievement of standards and accreditations, growth, retention, etc.</w:t>
            </w:r>
          </w:p>
        </w:tc>
        <w:tc>
          <w:tcPr>
            <w:tcW w:w="4410" w:type="dxa"/>
            <w:hideMark/>
          </w:tcPr>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It is possible that many of these measures are already in place via normal management systems and reporting.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The challenge is to identify which and how relate to the trainee's input and influence.</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Therefore it is important to identify and agree accountability and relevance with the trainee at the start of the training, so they understand what is to be measured.</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This process overlays normal good management practice - it simply needs linking to the training input.</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Failure to link to training input type and timing will greatly reduce the ease by which results can be attributed to the training.</w:t>
            </w:r>
          </w:p>
          <w:p w:rsidR="00837DCD" w:rsidRPr="006C5B5E" w:rsidRDefault="00837DCD" w:rsidP="0059186D">
            <w:pPr>
              <w:spacing w:before="180" w:after="180"/>
              <w:rPr>
                <w:rFonts w:ascii="Arial" w:eastAsia="Times New Roman" w:hAnsi="Arial" w:cs="Arial"/>
              </w:rPr>
            </w:pPr>
            <w:r w:rsidRPr="006C5B5E">
              <w:rPr>
                <w:rFonts w:ascii="Arial" w:eastAsia="Times New Roman" w:hAnsi="Arial" w:cs="Arial"/>
              </w:rPr>
              <w:t>For senior people particularly, annual appraisals and ongoing agreement of key business objectives are integral to measuring business results derived from training.</w:t>
            </w:r>
          </w:p>
        </w:tc>
        <w:tc>
          <w:tcPr>
            <w:tcW w:w="4765" w:type="dxa"/>
            <w:hideMark/>
          </w:tcPr>
          <w:p w:rsidR="00252358" w:rsidRPr="006C5B5E" w:rsidRDefault="00252358" w:rsidP="00252358">
            <w:pPr>
              <w:pStyle w:val="NormalWeb"/>
              <w:rPr>
                <w:rFonts w:ascii="Arial" w:hAnsi="Arial" w:cs="Arial"/>
                <w:sz w:val="22"/>
                <w:szCs w:val="22"/>
              </w:rPr>
            </w:pPr>
            <w:r w:rsidRPr="006C5B5E">
              <w:rPr>
                <w:rFonts w:ascii="Arial" w:hAnsi="Arial" w:cs="Arial"/>
                <w:sz w:val="22"/>
                <w:szCs w:val="22"/>
              </w:rPr>
              <w:t>Individually, results evaluation is not particularly difficult; across an entire organization it becomes very much more challenging, not least because of the reliance on line-management, and the frequency and scale of changing structures, responsibilities and roles, which complicates the process of attributing clear accountability.</w:t>
            </w:r>
          </w:p>
          <w:p w:rsidR="00252358" w:rsidRPr="006C5B5E" w:rsidRDefault="00252358" w:rsidP="00252358">
            <w:pPr>
              <w:pStyle w:val="NormalWeb"/>
              <w:rPr>
                <w:rFonts w:ascii="Arial" w:hAnsi="Arial" w:cs="Arial"/>
                <w:sz w:val="22"/>
                <w:szCs w:val="22"/>
              </w:rPr>
            </w:pPr>
            <w:r w:rsidRPr="006C5B5E">
              <w:rPr>
                <w:rFonts w:ascii="Arial" w:hAnsi="Arial" w:cs="Arial"/>
                <w:sz w:val="22"/>
                <w:szCs w:val="22"/>
              </w:rPr>
              <w:t>Also, external factors greatly affect organizational and business performance, which cloud the true cause of good or poor results.</w:t>
            </w:r>
          </w:p>
          <w:p w:rsidR="00837DCD" w:rsidRPr="006C5B5E" w:rsidRDefault="00837DCD" w:rsidP="00252358">
            <w:pPr>
              <w:spacing w:before="180" w:after="180"/>
              <w:rPr>
                <w:rFonts w:ascii="Arial" w:eastAsia="Times New Roman" w:hAnsi="Arial" w:cs="Arial"/>
              </w:rPr>
            </w:pPr>
          </w:p>
        </w:tc>
      </w:tr>
    </w:tbl>
    <w:p w:rsidR="001B36B9" w:rsidRDefault="001B36B9"/>
    <w:sectPr w:rsidR="001B36B9" w:rsidSect="00837D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CD"/>
    <w:rsid w:val="001B36B9"/>
    <w:rsid w:val="00252358"/>
    <w:rsid w:val="003F0986"/>
    <w:rsid w:val="0059186D"/>
    <w:rsid w:val="006C5B5E"/>
    <w:rsid w:val="00711FC3"/>
    <w:rsid w:val="00837DCD"/>
    <w:rsid w:val="008431CD"/>
    <w:rsid w:val="00B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DCD"/>
    <w:pPr>
      <w:spacing w:before="100" w:beforeAutospacing="1" w:after="100" w:afterAutospacing="1"/>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DCD"/>
    <w:rPr>
      <w:rFonts w:ascii="Times New Roman" w:eastAsia="Times New Roman" w:hAnsi="Times New Roman" w:cs="Times New Roman"/>
      <w:b/>
      <w:bCs/>
      <w:color w:val="FF0000"/>
      <w:sz w:val="36"/>
      <w:szCs w:val="36"/>
    </w:rPr>
  </w:style>
  <w:style w:type="paragraph" w:styleId="NormalWeb">
    <w:name w:val="Normal (Web)"/>
    <w:basedOn w:val="Normal"/>
    <w:uiPriority w:val="99"/>
    <w:unhideWhenUsed/>
    <w:rsid w:val="00837DCD"/>
    <w:pPr>
      <w:spacing w:before="180" w:after="1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DCD"/>
    <w:pPr>
      <w:spacing w:before="100" w:beforeAutospacing="1" w:after="100" w:afterAutospacing="1"/>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DCD"/>
    <w:rPr>
      <w:rFonts w:ascii="Times New Roman" w:eastAsia="Times New Roman" w:hAnsi="Times New Roman" w:cs="Times New Roman"/>
      <w:b/>
      <w:bCs/>
      <w:color w:val="FF0000"/>
      <w:sz w:val="36"/>
      <w:szCs w:val="36"/>
    </w:rPr>
  </w:style>
  <w:style w:type="paragraph" w:styleId="NormalWeb">
    <w:name w:val="Normal (Web)"/>
    <w:basedOn w:val="Normal"/>
    <w:uiPriority w:val="99"/>
    <w:unhideWhenUsed/>
    <w:rsid w:val="00837DCD"/>
    <w:pPr>
      <w:spacing w:before="180" w:after="1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1341">
      <w:bodyDiv w:val="1"/>
      <w:marLeft w:val="0"/>
      <w:marRight w:val="0"/>
      <w:marTop w:val="0"/>
      <w:marBottom w:val="0"/>
      <w:divBdr>
        <w:top w:val="none" w:sz="0" w:space="0" w:color="auto"/>
        <w:left w:val="none" w:sz="0" w:space="0" w:color="auto"/>
        <w:bottom w:val="none" w:sz="0" w:space="0" w:color="auto"/>
        <w:right w:val="none" w:sz="0" w:space="0" w:color="auto"/>
      </w:divBdr>
      <w:divsChild>
        <w:div w:id="238370612">
          <w:marLeft w:val="0"/>
          <w:marRight w:val="0"/>
          <w:marTop w:val="0"/>
          <w:marBottom w:val="0"/>
          <w:divBdr>
            <w:top w:val="none" w:sz="0" w:space="0" w:color="auto"/>
            <w:left w:val="none" w:sz="0" w:space="0" w:color="auto"/>
            <w:bottom w:val="none" w:sz="0" w:space="0" w:color="auto"/>
            <w:right w:val="none" w:sz="0" w:space="0" w:color="auto"/>
          </w:divBdr>
          <w:divsChild>
            <w:div w:id="4619663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Holt</dc:creator>
  <cp:lastModifiedBy>Kris Holt</cp:lastModifiedBy>
  <cp:revision>4</cp:revision>
  <dcterms:created xsi:type="dcterms:W3CDTF">2013-02-26T17:42:00Z</dcterms:created>
  <dcterms:modified xsi:type="dcterms:W3CDTF">2013-02-26T19:33:00Z</dcterms:modified>
</cp:coreProperties>
</file>